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F565B" w:rsidRDefault="00715FA9" w:rsidP="00715FA9">
      <w:pPr>
        <w:jc w:val="center"/>
        <w:rPr>
          <w:b/>
          <w:sz w:val="28"/>
          <w:szCs w:val="28"/>
        </w:rPr>
      </w:pPr>
      <w:r w:rsidRPr="003F565B">
        <w:rPr>
          <w:b/>
          <w:sz w:val="28"/>
          <w:szCs w:val="28"/>
        </w:rPr>
        <w:t>ПАСПОРТ ВІДКРИТИХ ТОРГІВ (АУКЦІОНУ)</w:t>
      </w:r>
    </w:p>
    <w:p w:rsidR="00715FA9" w:rsidRPr="00D51C1D" w:rsidRDefault="00715FA9" w:rsidP="00DA6ABC">
      <w:pPr>
        <w:jc w:val="center"/>
        <w:rPr>
          <w:b/>
          <w:sz w:val="28"/>
          <w:szCs w:val="28"/>
        </w:rPr>
      </w:pPr>
      <w:r w:rsidRPr="003F565B">
        <w:rPr>
          <w:b/>
          <w:sz w:val="28"/>
          <w:szCs w:val="28"/>
        </w:rPr>
        <w:t>з продажу прав вимоги</w:t>
      </w:r>
      <w:r w:rsidR="00684AFC" w:rsidRPr="003F565B">
        <w:rPr>
          <w:b/>
          <w:sz w:val="28"/>
          <w:szCs w:val="28"/>
        </w:rPr>
        <w:t xml:space="preserve"> </w:t>
      </w:r>
      <w:r w:rsidR="00157468" w:rsidRPr="003F565B">
        <w:rPr>
          <w:b/>
          <w:sz w:val="28"/>
          <w:szCs w:val="28"/>
        </w:rPr>
        <w:t>ПАТ «БГ БАНК»</w:t>
      </w:r>
      <w:r w:rsidR="00D51C1D" w:rsidRPr="00D51C1D">
        <w:rPr>
          <w:b/>
          <w:sz w:val="28"/>
          <w:szCs w:val="28"/>
        </w:rPr>
        <w:t xml:space="preserve"> та АТ «БАНК «НАЦІОНАЛЬНІ ІНВЕСТИЦІЇ»</w:t>
      </w:r>
    </w:p>
    <w:p w:rsidR="00715FA9" w:rsidRPr="003F565B" w:rsidRDefault="00715FA9" w:rsidP="00715FA9">
      <w:pPr>
        <w:spacing w:line="360" w:lineRule="auto"/>
        <w:ind w:firstLine="708"/>
        <w:jc w:val="both"/>
      </w:pPr>
    </w:p>
    <w:p w:rsidR="001359EB" w:rsidRPr="003F565B" w:rsidRDefault="00715FA9" w:rsidP="009132BF">
      <w:pPr>
        <w:spacing w:after="100"/>
      </w:pPr>
      <w:r w:rsidRPr="003F565B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3F565B">
        <w:t xml:space="preserve"> ПАТ «БГ БАНК»</w:t>
      </w:r>
      <w:r w:rsidR="00D51C1D">
        <w:t xml:space="preserve"> та </w:t>
      </w:r>
      <w:r w:rsidR="00D51C1D" w:rsidRPr="00D51C1D">
        <w:t>АТ «БАНК «НАЦІОНАЛЬНІ ІНВЕСТИЦІЇ»</w:t>
      </w:r>
      <w:r w:rsidR="00157468" w:rsidRPr="003F565B">
        <w:t>: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826"/>
        <w:gridCol w:w="1703"/>
        <w:gridCol w:w="1558"/>
        <w:gridCol w:w="1840"/>
      </w:tblGrid>
      <w:tr w:rsidR="00624C5A" w:rsidRPr="003F565B" w:rsidTr="00DA6ABC">
        <w:trPr>
          <w:trHeight w:val="10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3F565B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3F565B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3F565B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3F565B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3F565B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3F565B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3F565B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F565B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41BD0" w:rsidRPr="003F565B" w:rsidTr="00DA6ABC">
        <w:trPr>
          <w:trHeight w:val="121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D0" w:rsidRDefault="00C41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F114GL30122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D0" w:rsidRDefault="00C41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Кредитний портфель ПАТ «БГ БАНК»</w:t>
            </w:r>
            <w:r>
              <w:rPr>
                <w:color w:val="000000"/>
                <w:sz w:val="20"/>
                <w:szCs w:val="20"/>
              </w:rPr>
              <w:t>, що складається з прав вимоги за 9 кредитними договорами – авто кредити (перелік кредитів: 212-148/2008; 118; 167/ОМ; 15/11-2008; 133; 15/20-2008; 188; 192; 15/05-2007).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Кредитний портфель ПАТ «БГ БАНК»</w:t>
            </w:r>
            <w:r>
              <w:rPr>
                <w:color w:val="000000"/>
                <w:sz w:val="20"/>
                <w:szCs w:val="20"/>
              </w:rPr>
              <w:t xml:space="preserve">, що складається з прав вимоги за 8 кредитними договорами – </w:t>
            </w:r>
            <w:proofErr w:type="spellStart"/>
            <w:r>
              <w:rPr>
                <w:color w:val="000000"/>
                <w:sz w:val="20"/>
                <w:szCs w:val="20"/>
              </w:rPr>
              <w:t>беззаставні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кредити (перелік кредитів: 87; 06/ОВ-V/44/2014; 05/ОВ/1-2014; Б-ВО/41/22/03/2013; 06/17-2013; 01/3/44-2012; 001/18/ОВ-С/2009; 065/</w:t>
            </w:r>
            <w:proofErr w:type="spellStart"/>
            <w:r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>/2007).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Кредитний портфель АТ «БАНК «НАЦІОНАЛЬНІ ІНВЕСТИЦІЇ»</w:t>
            </w:r>
            <w:r>
              <w:rPr>
                <w:color w:val="000000"/>
                <w:sz w:val="20"/>
                <w:szCs w:val="20"/>
              </w:rPr>
              <w:t>, що складається з прав вимоги за 3 кредитними договорами – авто кредити (перелік кредитів: 448-10; 266-14; 413-12).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Кредитний портфель АТ «БАНК «НАЦІОНАЛЬНІ ІНВЕСТИЦІЇ»</w:t>
            </w:r>
            <w:r>
              <w:rPr>
                <w:color w:val="000000"/>
                <w:sz w:val="20"/>
                <w:szCs w:val="20"/>
              </w:rPr>
              <w:t xml:space="preserve">, що складається з прав вимоги за 12 кредитними договорами – </w:t>
            </w:r>
            <w:proofErr w:type="spellStart"/>
            <w:r>
              <w:rPr>
                <w:color w:val="000000"/>
                <w:sz w:val="20"/>
                <w:szCs w:val="20"/>
              </w:rPr>
              <w:t>беззаставні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кредити (перелік кредитів: 05-09; 286-13; 272-06; 381-03; 102-15; 418-11; 151-15; 632-07; 135-15; 104-13; 605-08; 76-12).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D0" w:rsidRDefault="00C41B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572 824,52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D0" w:rsidRDefault="00C41B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114 564,90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D0" w:rsidRPr="009565BC" w:rsidRDefault="00C41BD0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AB29F4">
                <w:rPr>
                  <w:rStyle w:val="a3"/>
                  <w:sz w:val="20"/>
                  <w:szCs w:val="20"/>
                </w:rPr>
                <w:t>http://torgi.fg.gov.ua/1</w:t>
              </w:r>
              <w:r w:rsidRPr="009565BC">
                <w:rPr>
                  <w:rStyle w:val="a3"/>
                  <w:sz w:val="20"/>
                  <w:szCs w:val="20"/>
                </w:rPr>
                <w:t>83250</w:t>
              </w:r>
            </w:hyperlink>
          </w:p>
          <w:p w:rsidR="00C41BD0" w:rsidRPr="009565BC" w:rsidRDefault="00C41BD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:rsidR="00D90393" w:rsidRPr="003F565B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3F565B" w:rsidRDefault="00FC05E1" w:rsidP="00CF4C39">
            <w:pPr>
              <w:jc w:val="both"/>
              <w:rPr>
                <w:i/>
              </w:rPr>
            </w:pPr>
            <w:r w:rsidRPr="003F565B">
              <w:rPr>
                <w:bCs/>
                <w:i/>
                <w:iCs/>
                <w:sz w:val="22"/>
                <w:szCs w:val="22"/>
              </w:rPr>
              <w:t xml:space="preserve">Рішення комітету ФГВФО з питань консолідації та продажу активів </w:t>
            </w:r>
            <w:r w:rsidR="00802435" w:rsidRPr="003F565B">
              <w:rPr>
                <w:bCs/>
                <w:i/>
                <w:iCs/>
                <w:sz w:val="22"/>
                <w:szCs w:val="22"/>
              </w:rPr>
              <w:t xml:space="preserve">№ </w:t>
            </w:r>
            <w:r w:rsidR="003F565B">
              <w:rPr>
                <w:bCs/>
                <w:i/>
                <w:iCs/>
                <w:sz w:val="22"/>
                <w:szCs w:val="22"/>
              </w:rPr>
              <w:t>1</w:t>
            </w:r>
            <w:r w:rsidR="00B4243A">
              <w:rPr>
                <w:bCs/>
                <w:i/>
                <w:iCs/>
                <w:sz w:val="22"/>
                <w:szCs w:val="22"/>
              </w:rPr>
              <w:t>654</w:t>
            </w:r>
            <w:r w:rsidR="00802435" w:rsidRPr="003F565B">
              <w:rPr>
                <w:bCs/>
                <w:i/>
                <w:iCs/>
                <w:sz w:val="22"/>
                <w:szCs w:val="22"/>
              </w:rPr>
              <w:t xml:space="preserve"> від </w:t>
            </w:r>
            <w:r w:rsidR="00B4243A">
              <w:rPr>
                <w:bCs/>
                <w:i/>
                <w:iCs/>
                <w:sz w:val="22"/>
                <w:szCs w:val="22"/>
              </w:rPr>
              <w:t>11</w:t>
            </w:r>
            <w:r w:rsidR="0050738B" w:rsidRPr="003F565B">
              <w:rPr>
                <w:bCs/>
                <w:i/>
                <w:iCs/>
                <w:sz w:val="22"/>
                <w:szCs w:val="22"/>
              </w:rPr>
              <w:t>.0</w:t>
            </w:r>
            <w:r w:rsidR="00B4243A">
              <w:rPr>
                <w:bCs/>
                <w:i/>
                <w:iCs/>
                <w:sz w:val="22"/>
                <w:szCs w:val="22"/>
              </w:rPr>
              <w:t>7</w:t>
            </w:r>
            <w:r w:rsidR="00624C5A" w:rsidRPr="003F565B">
              <w:rPr>
                <w:bCs/>
                <w:i/>
                <w:iCs/>
                <w:sz w:val="22"/>
                <w:szCs w:val="22"/>
              </w:rPr>
              <w:t>.2018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3F565B" w:rsidRDefault="00681CBB" w:rsidP="00681CBB">
            <w:pPr>
              <w:rPr>
                <w:b/>
                <w:i/>
                <w:lang w:eastAsia="x-none"/>
              </w:rPr>
            </w:pPr>
            <w:r w:rsidRPr="003F565B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3F565B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3F565B" w:rsidRDefault="004733D2" w:rsidP="004733D2">
            <w:pPr>
              <w:jc w:val="both"/>
              <w:rPr>
                <w:bCs/>
                <w:i/>
              </w:rPr>
            </w:pPr>
            <w:r w:rsidRPr="003F565B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3F565B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r w:rsidRPr="003F565B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1056F2">
            <w:pPr>
              <w:jc w:val="both"/>
              <w:rPr>
                <w:bCs/>
                <w:i/>
              </w:rPr>
            </w:pPr>
            <w:r w:rsidRPr="003F565B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r w:rsidRPr="003F565B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CA00D9">
            <w:pPr>
              <w:jc w:val="both"/>
              <w:rPr>
                <w:i/>
              </w:rPr>
            </w:pPr>
            <w:r w:rsidRPr="003F565B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3F565B">
              <w:rPr>
                <w:i/>
                <w:sz w:val="22"/>
                <w:szCs w:val="22"/>
              </w:rPr>
              <w:t xml:space="preserve">(стартової) </w:t>
            </w:r>
            <w:r w:rsidRPr="003F565B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r w:rsidRPr="003F565B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1056F2">
            <w:pPr>
              <w:jc w:val="both"/>
              <w:rPr>
                <w:i/>
              </w:rPr>
            </w:pPr>
            <w:r w:rsidRPr="003F565B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r w:rsidRPr="003F565B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3F565B" w:rsidRDefault="007E5B58" w:rsidP="001056F2">
            <w:pPr>
              <w:jc w:val="both"/>
              <w:rPr>
                <w:i/>
              </w:rPr>
            </w:pPr>
            <w:r w:rsidRPr="003F565B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3F565B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3F565B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F565B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3F565B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3F565B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r w:rsidRPr="003F565B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1056F2">
            <w:pPr>
              <w:jc w:val="both"/>
              <w:rPr>
                <w:i/>
              </w:rPr>
            </w:pPr>
            <w:r w:rsidRPr="003F565B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3F565B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3F565B" w:rsidRDefault="007E5B58" w:rsidP="00CB3B62">
            <w:r w:rsidRPr="003F565B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0AD0" w:rsidRPr="008B2CC2" w:rsidRDefault="007E5B58" w:rsidP="001056F2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20487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20487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2" w:history="1">
              <w:r w:rsidRPr="00520487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="00520487"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3" w:history="1">
              <w:r w:rsidR="00520487" w:rsidRPr="00520487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="00520487"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>, посилання на договір конфіденційності </w:t>
            </w:r>
            <w:hyperlink r:id="rId14" w:history="1">
              <w:r w:rsidR="00520487" w:rsidRPr="00520487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="00520487"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7E5B58" w:rsidRPr="00520487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20487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7E5B58" w:rsidRPr="00520487" w:rsidRDefault="007E5B58" w:rsidP="001056F2">
            <w:pPr>
              <w:jc w:val="both"/>
              <w:rPr>
                <w:i/>
              </w:rPr>
            </w:pPr>
            <w:r w:rsidRPr="00520487">
              <w:rPr>
                <w:i/>
                <w:sz w:val="22"/>
                <w:szCs w:val="22"/>
              </w:rPr>
              <w:t>1) ФГВФО, 04053, м.</w:t>
            </w:r>
            <w:r w:rsidR="009D202D" w:rsidRPr="00520487">
              <w:rPr>
                <w:i/>
                <w:sz w:val="22"/>
                <w:szCs w:val="22"/>
              </w:rPr>
              <w:t xml:space="preserve"> </w:t>
            </w:r>
            <w:r w:rsidRPr="00520487">
              <w:rPr>
                <w:i/>
                <w:sz w:val="22"/>
                <w:szCs w:val="22"/>
              </w:rPr>
              <w:t xml:space="preserve">Київ, вул. Січових  Стрільців, 17 та електронною поштою: </w:t>
            </w:r>
            <w:hyperlink r:id="rId15" w:history="1">
              <w:r w:rsidR="00133919" w:rsidRPr="00520487">
                <w:rPr>
                  <w:rStyle w:val="a3"/>
                  <w:i/>
                  <w:sz w:val="22"/>
                  <w:szCs w:val="22"/>
                </w:rPr>
                <w:t>clo@fg.gov.ua</w:t>
              </w:r>
            </w:hyperlink>
            <w:r w:rsidRPr="00520487">
              <w:rPr>
                <w:i/>
                <w:sz w:val="22"/>
                <w:szCs w:val="22"/>
              </w:rPr>
              <w:t>;</w:t>
            </w:r>
          </w:p>
          <w:p w:rsidR="007E5B58" w:rsidRPr="00520487" w:rsidRDefault="00DA6ABC" w:rsidP="001056F2">
            <w:pPr>
              <w:jc w:val="both"/>
              <w:rPr>
                <w:rStyle w:val="a3"/>
                <w:i/>
              </w:rPr>
            </w:pPr>
            <w:r w:rsidRPr="003F565B">
              <w:rPr>
                <w:i/>
                <w:sz w:val="22"/>
                <w:szCs w:val="22"/>
              </w:rPr>
              <w:t>2</w:t>
            </w:r>
            <w:r w:rsidR="007E5B58" w:rsidRPr="003F565B">
              <w:rPr>
                <w:i/>
                <w:sz w:val="22"/>
                <w:szCs w:val="22"/>
              </w:rPr>
              <w:t xml:space="preserve">) ПАТ «БГ БАНК», м. Київ, вул. О. Гончара, 35 та електронною поштою: </w:t>
            </w:r>
            <w:hyperlink r:id="rId16" w:history="1">
              <w:r w:rsidR="007E5B58" w:rsidRPr="003F565B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  <w:p w:rsidR="00B4243A" w:rsidRPr="003F565B" w:rsidRDefault="00B4243A" w:rsidP="001056F2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F565B">
              <w:rPr>
                <w:i/>
                <w:sz w:val="22"/>
                <w:szCs w:val="22"/>
              </w:rPr>
              <w:t xml:space="preserve">) </w:t>
            </w:r>
            <w:r w:rsidRPr="00B4243A">
              <w:rPr>
                <w:i/>
                <w:sz w:val="22"/>
                <w:szCs w:val="22"/>
              </w:rPr>
              <w:t xml:space="preserve">АТ «БАНК «НАЦІОНАЛЬНІ ІНВЕСТИЦІЇ», </w:t>
            </w:r>
            <w:r w:rsidRPr="003F565B">
              <w:rPr>
                <w:i/>
                <w:sz w:val="22"/>
                <w:szCs w:val="22"/>
              </w:rPr>
              <w:t>м. Київ, вул</w:t>
            </w:r>
            <w:r>
              <w:rPr>
                <w:i/>
                <w:sz w:val="22"/>
                <w:szCs w:val="22"/>
              </w:rPr>
              <w:t xml:space="preserve">. О. Гончара, 35 та електронною </w:t>
            </w:r>
            <w:r w:rsidRPr="003F565B">
              <w:rPr>
                <w:i/>
                <w:sz w:val="22"/>
                <w:szCs w:val="22"/>
              </w:rPr>
              <w:t xml:space="preserve">поштою: </w:t>
            </w:r>
            <w:hyperlink r:id="rId17" w:history="1">
              <w:r w:rsidRPr="003F565B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3F565B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1056F2">
            <w:pPr>
              <w:jc w:val="both"/>
              <w:rPr>
                <w:i/>
              </w:rPr>
            </w:pPr>
            <w:r w:rsidRPr="003F565B">
              <w:rPr>
                <w:i/>
                <w:sz w:val="22"/>
                <w:szCs w:val="22"/>
              </w:rPr>
              <w:t>М</w:t>
            </w:r>
            <w:r w:rsidR="00053350" w:rsidRPr="003F565B">
              <w:rPr>
                <w:i/>
                <w:sz w:val="22"/>
                <w:szCs w:val="22"/>
              </w:rPr>
              <w:t xml:space="preserve">атвієнко Євген Валерійович, </w:t>
            </w:r>
            <w:proofErr w:type="spellStart"/>
            <w:r w:rsidR="00042918" w:rsidRPr="003F565B">
              <w:rPr>
                <w:i/>
                <w:sz w:val="22"/>
                <w:szCs w:val="22"/>
              </w:rPr>
              <w:t>тел</w:t>
            </w:r>
            <w:proofErr w:type="spellEnd"/>
            <w:r w:rsidR="00042918" w:rsidRPr="003F565B">
              <w:rPr>
                <w:i/>
                <w:sz w:val="22"/>
                <w:szCs w:val="22"/>
              </w:rPr>
              <w:t xml:space="preserve">. </w:t>
            </w:r>
            <w:r w:rsidR="00053350" w:rsidRPr="003F565B">
              <w:rPr>
                <w:i/>
                <w:sz w:val="22"/>
                <w:szCs w:val="22"/>
              </w:rPr>
              <w:t xml:space="preserve">(044) </w:t>
            </w:r>
            <w:r w:rsidRPr="003F565B">
              <w:rPr>
                <w:i/>
                <w:sz w:val="22"/>
                <w:szCs w:val="22"/>
              </w:rPr>
              <w:t>200-09-09,</w:t>
            </w:r>
            <w:r w:rsidR="00053350" w:rsidRPr="003F565B">
              <w:rPr>
                <w:i/>
              </w:rPr>
              <w:t xml:space="preserve"> </w:t>
            </w:r>
            <w:r w:rsidRPr="003F565B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8" w:history="1">
              <w:r w:rsidRPr="003F565B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12045F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3F565B" w:rsidRDefault="0012045F" w:rsidP="00CB3B62">
            <w:r w:rsidRPr="003F565B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3F565B" w:rsidRDefault="00F84656" w:rsidP="00222A0E">
            <w:pPr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 w:rsidR="008B2CC2"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 w:rsidR="005F47FE" w:rsidRPr="003F565B">
              <w:rPr>
                <w:b/>
                <w:i/>
                <w:sz w:val="22"/>
                <w:szCs w:val="22"/>
              </w:rPr>
              <w:t>.2018р.</w:t>
            </w:r>
          </w:p>
        </w:tc>
      </w:tr>
      <w:tr w:rsidR="005F47FE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3F565B" w:rsidRDefault="005F47FE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3F565B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3F565B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3F565B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3F565B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3F565B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3F565B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3F565B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3F565B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3F565B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3F565B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3F565B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F565B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3F565B" w:rsidRDefault="005F47FE" w:rsidP="00CB3B62">
            <w:r w:rsidRPr="003F565B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3F565B" w:rsidRDefault="005F47FE" w:rsidP="00CD4F51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3F565B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3F565B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3F565B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3F565B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F84656" w:rsidRPr="00F84656">
              <w:rPr>
                <w:b/>
                <w:bCs/>
                <w:i/>
                <w:iCs/>
                <w:sz w:val="22"/>
                <w:szCs w:val="22"/>
                <w:lang w:val="ru-RU"/>
              </w:rPr>
              <w:t>19</w:t>
            </w:r>
            <w:r w:rsidR="00F84656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F84656" w:rsidRPr="00F84656">
              <w:rPr>
                <w:b/>
                <w:bCs/>
                <w:i/>
                <w:iCs/>
                <w:sz w:val="22"/>
                <w:szCs w:val="22"/>
                <w:lang w:val="ru-RU"/>
              </w:rPr>
              <w:t>9</w:t>
            </w:r>
            <w:r w:rsidRPr="003F565B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</w:tc>
      </w:tr>
      <w:tr w:rsidR="0012045F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3F565B" w:rsidRDefault="0012045F" w:rsidP="00CB3B62">
            <w:pPr>
              <w:rPr>
                <w:bCs/>
              </w:rPr>
            </w:pPr>
            <w:r w:rsidRPr="003F565B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3F565B" w:rsidRDefault="00C8773C" w:rsidP="007E6489">
            <w:pPr>
              <w:jc w:val="both"/>
              <w:rPr>
                <w:b/>
                <w:bCs/>
                <w:i/>
              </w:rPr>
            </w:pPr>
            <w:hyperlink r:id="rId19" w:history="1">
              <w:r w:rsidR="0012045F" w:rsidRPr="003F565B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3F565B" w:rsidRDefault="0012045F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3F565B" w:rsidRDefault="0012045F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3F565B" w:rsidRDefault="005F47FE" w:rsidP="005F47FE">
            <w:pPr>
              <w:rPr>
                <w:b/>
                <w:bCs/>
                <w:i/>
                <w:iCs/>
              </w:rPr>
            </w:pPr>
            <w:r w:rsidRPr="003F565B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3F565B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F84656">
              <w:rPr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8B2CC2" w:rsidRPr="00F84656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F84656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F84656"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Pr="003F565B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  <w:p w:rsidR="005F47FE" w:rsidRPr="003F565B" w:rsidRDefault="005F47FE" w:rsidP="005F47FE">
            <w:pPr>
              <w:rPr>
                <w:bCs/>
                <w:i/>
              </w:rPr>
            </w:pPr>
          </w:p>
          <w:p w:rsidR="0012045F" w:rsidRPr="003F565B" w:rsidRDefault="005F47FE" w:rsidP="005F47FE">
            <w:pPr>
              <w:jc w:val="both"/>
              <w:rPr>
                <w:b/>
                <w:bCs/>
                <w:i/>
              </w:rPr>
            </w:pPr>
            <w:r w:rsidRPr="003F565B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3F565B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3F565B" w:rsidRDefault="007E5B58" w:rsidP="00CB3B62">
            <w:pPr>
              <w:rPr>
                <w:bCs/>
              </w:rPr>
            </w:pPr>
            <w:r w:rsidRPr="003F565B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3F565B" w:rsidRDefault="007E5B58" w:rsidP="001056F2">
            <w:pPr>
              <w:jc w:val="both"/>
              <w:rPr>
                <w:bCs/>
                <w:i/>
              </w:rPr>
            </w:pPr>
            <w:r w:rsidRPr="003F565B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3F565B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3F565B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3F565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F84656" w:rsidRDefault="0076208D" w:rsidP="00157468">
      <w:pPr>
        <w:rPr>
          <w:sz w:val="22"/>
          <w:szCs w:val="22"/>
        </w:rPr>
      </w:pPr>
    </w:p>
    <w:sectPr w:rsidR="0076208D" w:rsidRPr="00F84656" w:rsidSect="00452B2A">
      <w:headerReference w:type="default" r:id="rId20"/>
      <w:pgSz w:w="11906" w:h="16838"/>
      <w:pgMar w:top="851" w:right="424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3C" w:rsidRDefault="00C8773C">
      <w:r>
        <w:separator/>
      </w:r>
    </w:p>
  </w:endnote>
  <w:endnote w:type="continuationSeparator" w:id="0">
    <w:p w:rsidR="00C8773C" w:rsidRDefault="00C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3C" w:rsidRDefault="00C8773C">
      <w:r>
        <w:separator/>
      </w:r>
    </w:p>
  </w:footnote>
  <w:footnote w:type="continuationSeparator" w:id="0">
    <w:p w:rsidR="00C8773C" w:rsidRDefault="00C8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F84656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6EC7"/>
    <w:rsid w:val="000E7ECF"/>
    <w:rsid w:val="0010475E"/>
    <w:rsid w:val="00106107"/>
    <w:rsid w:val="0011056E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459D0"/>
    <w:rsid w:val="001510AB"/>
    <w:rsid w:val="00151FE4"/>
    <w:rsid w:val="00157468"/>
    <w:rsid w:val="00163AE9"/>
    <w:rsid w:val="0017578F"/>
    <w:rsid w:val="001767D7"/>
    <w:rsid w:val="00180F5E"/>
    <w:rsid w:val="00183B2A"/>
    <w:rsid w:val="001918BE"/>
    <w:rsid w:val="00194F3B"/>
    <w:rsid w:val="001965F0"/>
    <w:rsid w:val="001A63FB"/>
    <w:rsid w:val="001A6496"/>
    <w:rsid w:val="001B367C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634C9"/>
    <w:rsid w:val="003677EE"/>
    <w:rsid w:val="003800BF"/>
    <w:rsid w:val="003829EB"/>
    <w:rsid w:val="003911AB"/>
    <w:rsid w:val="00392FD8"/>
    <w:rsid w:val="00394E62"/>
    <w:rsid w:val="003A1A37"/>
    <w:rsid w:val="003A1EF2"/>
    <w:rsid w:val="003A330B"/>
    <w:rsid w:val="003B3165"/>
    <w:rsid w:val="003B3FA3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B2A"/>
    <w:rsid w:val="00452D1A"/>
    <w:rsid w:val="00470E93"/>
    <w:rsid w:val="004733D2"/>
    <w:rsid w:val="004768EC"/>
    <w:rsid w:val="004817E9"/>
    <w:rsid w:val="00490D16"/>
    <w:rsid w:val="004B0020"/>
    <w:rsid w:val="004B1E52"/>
    <w:rsid w:val="004E01E0"/>
    <w:rsid w:val="004E11B4"/>
    <w:rsid w:val="004E54BD"/>
    <w:rsid w:val="004F108A"/>
    <w:rsid w:val="004F22F6"/>
    <w:rsid w:val="004F23F6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80AE2"/>
    <w:rsid w:val="00581760"/>
    <w:rsid w:val="00592394"/>
    <w:rsid w:val="005929F6"/>
    <w:rsid w:val="00595A9E"/>
    <w:rsid w:val="00595E28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47FE"/>
    <w:rsid w:val="005F636F"/>
    <w:rsid w:val="00601CB5"/>
    <w:rsid w:val="006077F9"/>
    <w:rsid w:val="00610858"/>
    <w:rsid w:val="00624C5A"/>
    <w:rsid w:val="0063084E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4F20"/>
    <w:rsid w:val="006F5C72"/>
    <w:rsid w:val="00710B89"/>
    <w:rsid w:val="00712C16"/>
    <w:rsid w:val="00715FA9"/>
    <w:rsid w:val="007232A0"/>
    <w:rsid w:val="00723893"/>
    <w:rsid w:val="007362BE"/>
    <w:rsid w:val="007471DD"/>
    <w:rsid w:val="00760B40"/>
    <w:rsid w:val="0076208D"/>
    <w:rsid w:val="00763957"/>
    <w:rsid w:val="007719B1"/>
    <w:rsid w:val="00777C72"/>
    <w:rsid w:val="00780603"/>
    <w:rsid w:val="007A4FC8"/>
    <w:rsid w:val="007B6B02"/>
    <w:rsid w:val="007C07BE"/>
    <w:rsid w:val="007D4A77"/>
    <w:rsid w:val="007D705D"/>
    <w:rsid w:val="007E0502"/>
    <w:rsid w:val="007E0704"/>
    <w:rsid w:val="007E5B58"/>
    <w:rsid w:val="007F0D63"/>
    <w:rsid w:val="00802435"/>
    <w:rsid w:val="0081689A"/>
    <w:rsid w:val="00825CB0"/>
    <w:rsid w:val="00826D90"/>
    <w:rsid w:val="008279C0"/>
    <w:rsid w:val="0083774C"/>
    <w:rsid w:val="00844556"/>
    <w:rsid w:val="0084661D"/>
    <w:rsid w:val="00847BC7"/>
    <w:rsid w:val="00862BE1"/>
    <w:rsid w:val="008911E1"/>
    <w:rsid w:val="0089289C"/>
    <w:rsid w:val="008A1154"/>
    <w:rsid w:val="008A325C"/>
    <w:rsid w:val="008B097B"/>
    <w:rsid w:val="008B2CC2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F4F6E"/>
    <w:rsid w:val="00A0252F"/>
    <w:rsid w:val="00A10330"/>
    <w:rsid w:val="00A20DB1"/>
    <w:rsid w:val="00A26BC8"/>
    <w:rsid w:val="00A33FCB"/>
    <w:rsid w:val="00A34975"/>
    <w:rsid w:val="00A36D5B"/>
    <w:rsid w:val="00A41EE7"/>
    <w:rsid w:val="00A47A7C"/>
    <w:rsid w:val="00A66354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D7A4B"/>
    <w:rsid w:val="00AE0FE9"/>
    <w:rsid w:val="00AE2167"/>
    <w:rsid w:val="00B004DF"/>
    <w:rsid w:val="00B032F0"/>
    <w:rsid w:val="00B062E0"/>
    <w:rsid w:val="00B0666D"/>
    <w:rsid w:val="00B1037B"/>
    <w:rsid w:val="00B26EF6"/>
    <w:rsid w:val="00B34B00"/>
    <w:rsid w:val="00B4243A"/>
    <w:rsid w:val="00B556A1"/>
    <w:rsid w:val="00B7795A"/>
    <w:rsid w:val="00B81957"/>
    <w:rsid w:val="00B9579B"/>
    <w:rsid w:val="00BA04EE"/>
    <w:rsid w:val="00BA0F51"/>
    <w:rsid w:val="00BA4B16"/>
    <w:rsid w:val="00BC0BEF"/>
    <w:rsid w:val="00BC726A"/>
    <w:rsid w:val="00BC794E"/>
    <w:rsid w:val="00BD2361"/>
    <w:rsid w:val="00BD2D12"/>
    <w:rsid w:val="00BD4019"/>
    <w:rsid w:val="00BE19F3"/>
    <w:rsid w:val="00BE63B2"/>
    <w:rsid w:val="00BF672B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1BD0"/>
    <w:rsid w:val="00C43A70"/>
    <w:rsid w:val="00C503A3"/>
    <w:rsid w:val="00C523A6"/>
    <w:rsid w:val="00C54145"/>
    <w:rsid w:val="00C574AB"/>
    <w:rsid w:val="00C620F5"/>
    <w:rsid w:val="00C751B4"/>
    <w:rsid w:val="00C759D6"/>
    <w:rsid w:val="00C83328"/>
    <w:rsid w:val="00C8773C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5BF6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73921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52EE"/>
    <w:rsid w:val="00F14C9C"/>
    <w:rsid w:val="00F47357"/>
    <w:rsid w:val="00F6247D"/>
    <w:rsid w:val="00F65026"/>
    <w:rsid w:val="00F77887"/>
    <w:rsid w:val="00F84656"/>
    <w:rsid w:val="00F84D24"/>
    <w:rsid w:val="00F8506F"/>
    <w:rsid w:val="00F907FD"/>
    <w:rsid w:val="00F953E6"/>
    <w:rsid w:val="00FC05E1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help/poryadok" TargetMode="External"/><Relationship Id="rId18" Type="http://schemas.openxmlformats.org/officeDocument/2006/relationships/hyperlink" Target="mailto:Matvienkoe@bg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Matvienkoe@bg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vienkoe@bgbank.com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www.prozorro.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3250" TargetMode="External"/><Relationship Id="rId14" Type="http://schemas.openxmlformats.org/officeDocument/2006/relationships/hyperlink" Target="http://torgi.fg.gov.ua/nda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3A60-E360-4753-A40E-F8F3F2F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3966</Words>
  <Characters>2262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Рижкіна Наталья</cp:lastModifiedBy>
  <cp:revision>636</cp:revision>
  <cp:lastPrinted>2017-07-26T09:16:00Z</cp:lastPrinted>
  <dcterms:created xsi:type="dcterms:W3CDTF">2017-07-20T13:49:00Z</dcterms:created>
  <dcterms:modified xsi:type="dcterms:W3CDTF">2018-08-29T14:21:00Z</dcterms:modified>
</cp:coreProperties>
</file>