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2" w:rsidRPr="00376582" w:rsidRDefault="00376582" w:rsidP="00376582">
      <w:pPr>
        <w:shd w:val="clear" w:color="auto" w:fill="FFFFFF"/>
        <w:spacing w:after="96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7658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ПАСПОРТ ВІДКРИТИХ ТОРГІВ (АУКЦІОНУ) з продажу активів (майна) ПУАТ «ФІДОБАНК»</w:t>
      </w:r>
    </w:p>
    <w:p w:rsidR="00376582" w:rsidRPr="00376582" w:rsidRDefault="00376582" w:rsidP="003765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765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3765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голандського</w:t>
      </w:r>
      <w:proofErr w:type="spellEnd"/>
      <w:r w:rsidRPr="0037658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аукціону) з продажу наступних активів, що обліковуються на балансі ПУАТ «ФІДОБАНК»</w:t>
      </w:r>
    </w:p>
    <w:p w:rsidR="00376582" w:rsidRPr="00376582" w:rsidRDefault="00376582" w:rsidP="00376582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7658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                               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3514"/>
        <w:gridCol w:w="2004"/>
        <w:gridCol w:w="2014"/>
        <w:gridCol w:w="1526"/>
      </w:tblGrid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4-х кімнатна квартира загальною площею 85,40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Донецька обл., м. Горлівка, вулиця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Болотникова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будинок 1, квартира 134, БТІ 7984348,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№00064597_e та Основні засоби у кількості 113 од., згідно Додатку № 1,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м. Донецьк, вул. Університетська, буд. 112-а.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16.03.2020 - 217 708,7</w:t>
            </w:r>
            <w:bookmarkStart w:id="0" w:name="_GoBack"/>
            <w:bookmarkEnd w:id="0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43 541,75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213835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GL3N016548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вбудоване приміщення під офіс, площею 73,30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на першому поверсі житлового будинку літ. А - 5,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м. Донецьк, проспект Ілліча, буд. 86, РПВН 21612482,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№00051980_e та Основні засоби у кількості 51 од., згідно Додатку № 2,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м. Донецьк, проспект Ілліча, буд. 86.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16.03.2020 - 349 631,87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69 926,37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213841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засобів, а саме: нежиле приміщення, загальною площею 91,90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Донецька обл., м. Макіївка, вулиця Леніна, будинок 71, приміщення 39, РПВН 17350637,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№00064050_e та Основні засоби у кількості 202 од., згідно Додатку № 3,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Донецька обл., м. Донецьк, вул. Університетська, буд. 112-а.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16.03.2020 - 485 072,63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97 014,53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213840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GL22N016550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нежитлове приміщення №23 загальною площею 91,20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Луганська обл., м. Луганськ, вулиця Маркса Карла, будинок 43, приміщення 23, БТІ 18357612,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№15444_f та Основні засоби у кількості 115 од., згідно Додатку № 4,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м. Луганськ, вул. К. Маркса, 43.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16.03.2020 - 641 129,77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128 225,95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213842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приміщення №№ 1, 2, 3, 4, загальною площею 106,80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на І-му поверсі адміністративно - торгівельної будівлі літ. А-2, що становить 1/1 ідеальної частки, які знаходяться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місто Донецьк, вулиця 230-ої Стрілецької дивізії (вулиця 230-ой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Стрілковой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дивізії), будинок номер 2а (два "а") РПВН 23783573,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№80001228_e та Основні засоби у кількості 11 од.,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згідно Додатку № 5,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м. Донецьк, вул. 230-ої Стрілецької дивізії, 2-а.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16.03.2020 - 649 780,94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129 956,19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213843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GL22N016552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нежитлове напівпідвальне приміщення магазину загальною площею 198,1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м. Луганська обл., м. Алчевськ, вулиця Горького, 36, БТІ 263,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№100/5 та Основні засоби, а саме охоронно-тривожна сигналізація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м.Алчевськ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інв.№152140.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16.03.2020 - 991 853,21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198 370,64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213844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вбудоване приміщення під відділення банку, загальною площею 174,7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на першому поверсі житлового будинку літ. А-17,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Донецька обл., м. Донецьк, проспект Панфілова, будинок 21, корпус 6, БТІ 36618992,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№00059464_e та Основні засоби у кількості 111 од., згідно Додатку № 6,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м. Донецьк, проспект Панфілова, будинок 21.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16.03.2020 - 1 043 497,36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208 699,47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213845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вбудоване приміщення з цегли літ. "А-IV" з ганками "а", "а?", загальною площею 152,20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Донецька область, м. Горлівка,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вул. Пушкінська, буд. 14, БТІ 19227429,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№15447_f та Основні засоби у кількості 52 од., згідно Додатку № 7,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Донецька область, м. Горлівка, вул. Пушкінська, буд. 14.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16.03.2020 - 1 050 972,64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210 194,53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213846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GL22N016555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15/100 (п`ятнадцять сотих) частин вбудованого нежитлового приміщення № 66 (шістдесят шість), які складаються з частки кімнати № 10, площею 440,10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кімнати 12, площею 4,80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кімнати 11, площею 6,0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всього загальною площею 450,9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розташованого на першому поверсі по вулиці Горького, будинок 38 (тридцять вісім) в місті Алчевську Луганської області. Загальна площа приміщення № 66 (шістдесят шість) складає 2 862,70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кв.м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БТІ 19442347,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№80001157_e та Основні засоби у кількості 379 од., згідно Додатку № 8,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м. Донецьк,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просп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Миру, 15.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16.03.2020 - 2 929 043,80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585 808,76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213847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будівля банку літ. А-3, загальною площею 1 054,5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Донецька обл., м. Донецьк,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вул.Університетська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, буд. 112-а, БТІ 27532832,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№9592_f та Основні засоби у кількості 275 од., згідно Додатку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№ 9,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Донецька обл., м. Донецьк, вул. Університетська, буд. 112-а.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16.03.2020 - 4 709 853,05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941 970,61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213848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GL22N016557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нежитлове приміщення на 1-му поверсі адміністративної будівлі з розміщенням торгівельних та офісних приміщень літ. А-9, загальною площею 395,8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що складає 7,9/100 частин літ. А-9, крім того місця загального користування, що складає 1,6/100 частки від літ. А-9, що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Донецька обл., м. Донецьк, пр. Миру, буд. 15, БТІ 27176557,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№00010120_e та Основні засоби у кількості 273 од., згідно Додатку № 10,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: м. Донецьк, пр. Миру, буд. 15.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16.03.2020 - 5 029 629,38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1 005 925,88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213849</w:t>
              </w:r>
            </w:hyperlink>
          </w:p>
        </w:tc>
      </w:tr>
      <w:tr w:rsidR="00376582" w:rsidRPr="00376582" w:rsidTr="00376582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GL22N016558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Пул активів, що складається з нерухомого майна та основних засобів, а саме: адміністративна будівля, загальною площею 2 222,7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м, що складається з: А-3, Б-3,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пд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., А`-3, а?, б - адміністративна будівля з підвалом, прибудовою, вхідними ганками, І- замощення, яка знаходиться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м. Луганськ, вул. Карла Маркса, буд. 63 (шістдесят три), БТІ 7225491,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інв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№00023708_e та Основні засоби у кількості 747 од., згідно Додатку № 11, що знаходились за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адресою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: м. Луганськ, вул. Карла Маркса,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буд. 63.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16.03.2020 - 5 866 395,08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1 173 279,02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213851</w:t>
              </w:r>
            </w:hyperlink>
          </w:p>
        </w:tc>
      </w:tr>
    </w:tbl>
    <w:p w:rsidR="00376582" w:rsidRPr="00376582" w:rsidRDefault="00376582" w:rsidP="00376582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7658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lastRenderedPageBreak/>
        <w:t>                                                    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76 від 2020-01-22 р.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 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begin"/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instrText xml:space="preserve"> HYPERLINK "http://torgi.fg.gov.ua/prozorrosale" </w:instrTex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separate"/>
            </w:r>
            <w:r w:rsidRPr="00376582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http</w:t>
            </w:r>
            <w:proofErr w:type="spellEnd"/>
            <w:r w:rsidRPr="00376582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://torgi.fg.gov.ua/</w:t>
            </w:r>
            <w:proofErr w:type="spellStart"/>
            <w:r w:rsidRPr="00376582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>prozorrosale</w:t>
            </w:r>
            <w:proofErr w:type="spellEnd"/>
            <w:r w:rsidRPr="00376582">
              <w:rPr>
                <w:rFonts w:ascii="Arial" w:eastAsia="Times New Roman" w:hAnsi="Arial" w:cs="Arial"/>
                <w:color w:val="095197"/>
                <w:sz w:val="21"/>
                <w:szCs w:val="21"/>
                <w:lang w:val="uk-UA" w:eastAsia="ru-RU"/>
              </w:rPr>
              <w:t xml:space="preserve">    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fldChar w:fldCharType="end"/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5% (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пять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) відсотків від початкової (стартової) ціни лотів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17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 від початкової ціни реалізації лотів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Порядок ознайомлення з активом у кімнаті даних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Ознайомитись з майном можна:  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(044) 593-00-00,  м. Київ, бульвар Тараса Шевченка 8/26: Roman.Pogrebniak@fidobank.ua [ mailto:Roman.Pogrebniak@fidobank.ua ]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ПУАТ «ФІДОБАНК»: Мельниченко Мирослав Миколайович, </w:t>
            </w:r>
            <w:proofErr w:type="spellStart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м.Київ</w:t>
            </w:r>
            <w:proofErr w:type="spellEnd"/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бульвар Тараса Шевченка, 8/26, Телефон: (044)593-00-42, адреса електронної пошти: Myroslav.Melnychenko@fidobank.ua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16.03.2020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16.03.2020  </w:t>
            </w:r>
            <w:r w:rsidRPr="003765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" w:history="1">
              <w:r w:rsidRPr="0037658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www.prozorro.sale</w:t>
              </w:r>
            </w:hyperlink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Кінцева дата перерахування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гарантійного внеску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   16.03.2020  </w:t>
            </w:r>
            <w:r w:rsidRPr="003765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Гарантійний внесок вважається сплаченим з моменту його </w:t>
            </w: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  <w:p w:rsidR="00376582" w:rsidRPr="00376582" w:rsidRDefault="00376582" w:rsidP="0037658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    </w:t>
            </w:r>
          </w:p>
        </w:tc>
      </w:tr>
      <w:tr w:rsidR="00376582" w:rsidRPr="00376582" w:rsidTr="00376582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6582" w:rsidRPr="00376582" w:rsidRDefault="00376582" w:rsidP="0037658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37658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E539C" w:rsidRPr="00376582" w:rsidRDefault="002E539C">
      <w:pPr>
        <w:rPr>
          <w:lang w:val="uk-UA"/>
        </w:rPr>
      </w:pPr>
    </w:p>
    <w:sectPr w:rsidR="002E539C" w:rsidRPr="00376582" w:rsidSect="0037658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2"/>
    <w:rsid w:val="002E539C"/>
    <w:rsid w:val="003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3842" TargetMode="External"/><Relationship Id="rId13" Type="http://schemas.openxmlformats.org/officeDocument/2006/relationships/hyperlink" Target="http://torgi.fg.gov.ua/213847" TargetMode="External"/><Relationship Id="rId1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13840" TargetMode="External"/><Relationship Id="rId12" Type="http://schemas.openxmlformats.org/officeDocument/2006/relationships/hyperlink" Target="http://torgi.fg.gov.ua/213846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38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13841" TargetMode="External"/><Relationship Id="rId11" Type="http://schemas.openxmlformats.org/officeDocument/2006/relationships/hyperlink" Target="http://torgi.fg.gov.ua/213845" TargetMode="External"/><Relationship Id="rId5" Type="http://schemas.openxmlformats.org/officeDocument/2006/relationships/hyperlink" Target="http://torgi.fg.gov.ua/213835" TargetMode="External"/><Relationship Id="rId15" Type="http://schemas.openxmlformats.org/officeDocument/2006/relationships/hyperlink" Target="http://torgi.fg.gov.ua/213849" TargetMode="External"/><Relationship Id="rId10" Type="http://schemas.openxmlformats.org/officeDocument/2006/relationships/hyperlink" Target="http://torgi.fg.gov.ua/2138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3843" TargetMode="External"/><Relationship Id="rId14" Type="http://schemas.openxmlformats.org/officeDocument/2006/relationships/hyperlink" Target="http://torgi.fg.gov.ua/213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2020-02-21T12:22:00Z</dcterms:created>
  <dcterms:modified xsi:type="dcterms:W3CDTF">2020-02-21T12:25:00Z</dcterms:modified>
</cp:coreProperties>
</file>