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80DFF" w:rsidRDefault="00715FA9" w:rsidP="008D00C8">
      <w:pPr>
        <w:jc w:val="center"/>
        <w:rPr>
          <w:b/>
          <w:sz w:val="20"/>
          <w:szCs w:val="20"/>
        </w:rPr>
      </w:pPr>
      <w:r w:rsidRPr="00380DFF">
        <w:rPr>
          <w:b/>
          <w:sz w:val="20"/>
          <w:szCs w:val="20"/>
        </w:rPr>
        <w:t>ПАСПОРТ ВІДКРИТИХ ТОРГІВ (АУКЦІОНУ)</w:t>
      </w:r>
    </w:p>
    <w:p w:rsidR="00715FA9" w:rsidRPr="00380DFF" w:rsidRDefault="00715FA9" w:rsidP="00014652">
      <w:pPr>
        <w:jc w:val="center"/>
        <w:rPr>
          <w:b/>
          <w:sz w:val="20"/>
          <w:szCs w:val="20"/>
          <w:lang w:val="ru-RU"/>
        </w:rPr>
      </w:pPr>
      <w:r w:rsidRPr="00380DFF">
        <w:rPr>
          <w:b/>
          <w:sz w:val="20"/>
          <w:szCs w:val="20"/>
        </w:rPr>
        <w:t xml:space="preserve">з продажу прав вимоги </w:t>
      </w:r>
      <w:r w:rsidR="00F3313F">
        <w:rPr>
          <w:b/>
          <w:sz w:val="20"/>
          <w:szCs w:val="20"/>
        </w:rPr>
        <w:t>АТ «Дельта Банк</w:t>
      </w:r>
      <w:r w:rsidR="00527143" w:rsidRPr="00380DFF">
        <w:rPr>
          <w:b/>
          <w:sz w:val="20"/>
          <w:szCs w:val="20"/>
        </w:rPr>
        <w:t>»</w:t>
      </w:r>
    </w:p>
    <w:p w:rsidR="00715FA9" w:rsidRPr="00380DFF" w:rsidRDefault="00715FA9" w:rsidP="0027447B">
      <w:pPr>
        <w:jc w:val="center"/>
        <w:rPr>
          <w:sz w:val="20"/>
          <w:szCs w:val="20"/>
        </w:rPr>
      </w:pPr>
      <w:r w:rsidRPr="00380DFF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3313F">
        <w:rPr>
          <w:sz w:val="20"/>
          <w:szCs w:val="20"/>
        </w:rPr>
        <w:t>АТ «Дельта Банк</w:t>
      </w:r>
      <w:r w:rsidR="00527143" w:rsidRPr="00380DFF">
        <w:rPr>
          <w:sz w:val="20"/>
          <w:szCs w:val="20"/>
        </w:rPr>
        <w:t>»</w:t>
      </w:r>
      <w:r w:rsidRPr="00380DFF">
        <w:rPr>
          <w:sz w:val="20"/>
          <w:szCs w:val="20"/>
        </w:rPr>
        <w:t>:</w:t>
      </w:r>
    </w:p>
    <w:tbl>
      <w:tblPr>
        <w:tblW w:w="99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14"/>
        <w:gridCol w:w="29"/>
        <w:gridCol w:w="3515"/>
        <w:gridCol w:w="29"/>
        <w:gridCol w:w="1611"/>
        <w:gridCol w:w="61"/>
        <w:gridCol w:w="1559"/>
        <w:gridCol w:w="29"/>
        <w:gridCol w:w="1247"/>
        <w:gridCol w:w="58"/>
      </w:tblGrid>
      <w:tr w:rsidR="00715FA9" w:rsidRPr="00380DFF" w:rsidTr="00D63746">
        <w:trPr>
          <w:gridBefore w:val="1"/>
          <w:wBefore w:w="29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№лоту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Початкова ціна/початков</w:t>
            </w:r>
            <w:r w:rsidR="00917715" w:rsidRPr="00380DFF">
              <w:rPr>
                <w:sz w:val="20"/>
                <w:szCs w:val="20"/>
              </w:rPr>
              <w:t>а ціна реалізації лоту, грн. (</w:t>
            </w:r>
            <w:r w:rsidRPr="00380DFF">
              <w:rPr>
                <w:sz w:val="20"/>
                <w:szCs w:val="20"/>
              </w:rPr>
              <w:t>без ПДВ)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8F16EF" w:rsidRPr="00380DFF" w:rsidTr="00CD4F3E">
        <w:trPr>
          <w:gridBefore w:val="1"/>
          <w:wBefore w:w="29" w:type="dxa"/>
          <w:trHeight w:val="1037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F3313F" w:rsidP="005E4D7C">
            <w:pPr>
              <w:rPr>
                <w:sz w:val="20"/>
                <w:szCs w:val="20"/>
              </w:rPr>
            </w:pPr>
            <w:r w:rsidRPr="00F3313F">
              <w:rPr>
                <w:sz w:val="20"/>
                <w:szCs w:val="20"/>
              </w:rPr>
              <w:t>Q80926b13814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3F" w:rsidRDefault="00F3313F" w:rsidP="00F3313F">
            <w:pPr>
              <w:rPr>
                <w:sz w:val="20"/>
                <w:szCs w:val="20"/>
                <w:lang w:val="ru-RU"/>
              </w:rPr>
            </w:pPr>
            <w:r w:rsidRPr="00F3313F">
              <w:rPr>
                <w:b/>
                <w:sz w:val="20"/>
                <w:szCs w:val="20"/>
                <w:lang w:val="ru-RU"/>
              </w:rPr>
              <w:t>Право вимоги за кредитним договором №11363879000 від 03.07.2008 року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8F16EF" w:rsidRPr="00F3313F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*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9A74AA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F3313F" w:rsidRPr="00F3313F" w:rsidRDefault="00F3313F" w:rsidP="00F331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3313F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квартира (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- 56,60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- 39,40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.),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F3313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Хохлових</w:t>
            </w:r>
            <w:proofErr w:type="spellEnd"/>
            <w:proofErr w:type="gramStart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ім'ї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>, буд.3.</w:t>
            </w:r>
          </w:p>
          <w:p w:rsidR="00F3313F" w:rsidRPr="00F3313F" w:rsidRDefault="00731D6E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Іпотекодавцями є </w:t>
            </w:r>
            <w:proofErr w:type="spellStart"/>
            <w:r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</w:t>
            </w:r>
            <w:r w:rsidR="00F3313F" w:rsidRPr="00F3313F"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фізичні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особи.</w:t>
            </w:r>
          </w:p>
          <w:p w:rsidR="008F16EF" w:rsidRPr="003858D9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F3313F" w:rsidRPr="00F3313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F3313F" w:rsidRPr="00F3313F">
              <w:rPr>
                <w:sz w:val="20"/>
                <w:szCs w:val="20"/>
                <w:lang w:val="ru-RU"/>
              </w:rPr>
              <w:t>р</w:t>
            </w:r>
            <w:proofErr w:type="gramEnd"/>
            <w:r w:rsidR="00F3313F" w:rsidRPr="00F3313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3858D9">
              <w:rPr>
                <w:sz w:val="20"/>
                <w:szCs w:val="20"/>
              </w:rPr>
              <w:t xml:space="preserve"> особою.</w:t>
            </w:r>
          </w:p>
          <w:p w:rsidR="00F3313F" w:rsidRPr="00380DFF" w:rsidRDefault="00F3313F" w:rsidP="00F3313F">
            <w:pPr>
              <w:rPr>
                <w:sz w:val="20"/>
                <w:szCs w:val="20"/>
                <w:lang w:val="ru-RU"/>
              </w:rPr>
            </w:pP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даним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договором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третьої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особи</w:t>
            </w:r>
            <w:proofErr w:type="gramStart"/>
            <w:r w:rsidR="00F3313F">
              <w:rPr>
                <w:sz w:val="20"/>
                <w:szCs w:val="20"/>
                <w:lang w:val="ru-RU"/>
              </w:rPr>
              <w:t>,</w:t>
            </w:r>
            <w:r w:rsidR="008F16EF" w:rsidRPr="00380DFF">
              <w:rPr>
                <w:sz w:val="20"/>
                <w:szCs w:val="20"/>
                <w:lang w:val="ru-RU"/>
              </w:rPr>
              <w:t>н</w:t>
            </w:r>
            <w:proofErr w:type="gramEnd"/>
            <w:r w:rsidR="008F16EF" w:rsidRPr="00380DFF">
              <w:rPr>
                <w:sz w:val="20"/>
                <w:szCs w:val="20"/>
                <w:lang w:val="ru-RU"/>
              </w:rPr>
              <w:t>аразі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759 334,79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863F2" w:rsidRPr="00CD4F3E">
                <w:rPr>
                  <w:rStyle w:val="a3"/>
                  <w:color w:val="095197"/>
                  <w:sz w:val="20"/>
                  <w:szCs w:val="20"/>
                </w:rPr>
                <w:t>http://torgi.fg.gov.ua:80/116488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8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683 401,31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6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</w:t>
            </w:r>
            <w:r w:rsidRPr="00A00155">
              <w:rPr>
                <w:b/>
                <w:sz w:val="20"/>
                <w:szCs w:val="20"/>
                <w:lang w:val="ru-RU"/>
              </w:rPr>
              <w:t>9</w:t>
            </w:r>
            <w:r w:rsidRPr="00A00155">
              <w:rPr>
                <w:b/>
                <w:sz w:val="20"/>
                <w:szCs w:val="20"/>
              </w:rPr>
              <w:t>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607 467,83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531 534,35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A74AA" w:rsidRDefault="00B60703" w:rsidP="005E4D7C">
            <w:pPr>
              <w:rPr>
                <w:sz w:val="20"/>
                <w:szCs w:val="20"/>
                <w:lang w:val="en-US"/>
              </w:rPr>
            </w:pPr>
            <w:r w:rsidRPr="00B60703">
              <w:rPr>
                <w:sz w:val="20"/>
                <w:szCs w:val="20"/>
                <w:lang w:val="en-US"/>
              </w:rPr>
              <w:t>Q80926b13815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03" w:rsidRDefault="00B60703" w:rsidP="00B60703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  <w:lang w:val="ru-RU"/>
              </w:rPr>
              <w:t>Право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вимоги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за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кредитними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договорами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№49.44/32/08-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№49.44/33/08-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№49.44/34/08-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№49.44/35/08-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№49.44/36/08-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 w:rsidRPr="00B60703">
              <w:rPr>
                <w:b/>
                <w:sz w:val="20"/>
                <w:szCs w:val="20"/>
                <w:lang w:val="en-US"/>
              </w:rPr>
              <w:t>,</w:t>
            </w:r>
            <w:r w:rsidR="00BD6C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укладеними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особою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8F16EF" w:rsidRDefault="008F16EF" w:rsidP="00B60703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</w:t>
            </w:r>
            <w:r w:rsidRPr="00B60703">
              <w:rPr>
                <w:b/>
                <w:sz w:val="20"/>
                <w:szCs w:val="20"/>
                <w:lang w:val="ru-RU"/>
              </w:rPr>
              <w:t>:</w:t>
            </w:r>
          </w:p>
          <w:p w:rsidR="00A37707" w:rsidRPr="00B60703" w:rsidRDefault="00A37707" w:rsidP="00B60703">
            <w:pPr>
              <w:rPr>
                <w:sz w:val="20"/>
                <w:szCs w:val="20"/>
                <w:lang w:val="ru-RU"/>
              </w:rPr>
            </w:pP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60703" w:rsidRPr="00B60703">
              <w:rPr>
                <w:sz w:val="20"/>
                <w:szCs w:val="20"/>
                <w:lang w:val="ru-RU"/>
              </w:rPr>
              <w:t xml:space="preserve">Земельні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>: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B60703">
              <w:rPr>
                <w:sz w:val="20"/>
                <w:szCs w:val="20"/>
                <w:lang w:val="ru-RU"/>
              </w:rPr>
              <w:t>,ц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</w:t>
            </w:r>
            <w:r w:rsidR="004B449B">
              <w:rPr>
                <w:sz w:val="20"/>
                <w:szCs w:val="20"/>
                <w:lang w:val="ru-RU"/>
              </w:rPr>
              <w:t xml:space="preserve">-н, </w:t>
            </w:r>
            <w:proofErr w:type="spellStart"/>
            <w:proofErr w:type="gramStart"/>
            <w:r w:rsidR="004B449B">
              <w:rPr>
                <w:sz w:val="20"/>
                <w:szCs w:val="20"/>
                <w:lang w:val="ru-RU"/>
              </w:rPr>
              <w:t>П</w:t>
            </w:r>
            <w:proofErr w:type="gramEnd"/>
            <w:r w:rsidR="004B449B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B449B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рада</w:t>
            </w:r>
            <w:r w:rsidRPr="00B60703">
              <w:rPr>
                <w:sz w:val="20"/>
                <w:szCs w:val="20"/>
                <w:lang w:val="ru-RU"/>
              </w:rPr>
              <w:t>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Іпотекодвцем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="00253D25" w:rsidRPr="00253D25">
              <w:rPr>
                <w:sz w:val="20"/>
                <w:szCs w:val="20"/>
                <w:lang w:val="ru-RU"/>
              </w:rPr>
              <w:t xml:space="preserve"> </w:t>
            </w:r>
            <w:r w:rsidR="00253D25">
              <w:rPr>
                <w:sz w:val="20"/>
                <w:szCs w:val="20"/>
              </w:rPr>
              <w:t>всі</w:t>
            </w:r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кредити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="004B449B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B60703" w:rsidRPr="00B6070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B60703" w:rsidRPr="00B60703">
              <w:rPr>
                <w:sz w:val="20"/>
                <w:szCs w:val="20"/>
                <w:lang w:val="ru-RU"/>
              </w:rPr>
              <w:t>р</w:t>
            </w:r>
            <w:proofErr w:type="gramEnd"/>
            <w:r w:rsidR="00B60703" w:rsidRPr="00B6070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8F16EF" w:rsidRPr="00253D25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особа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виступає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поручителем за</w:t>
            </w:r>
            <w:r w:rsidR="00253D2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3D25">
              <w:rPr>
                <w:sz w:val="20"/>
                <w:szCs w:val="20"/>
                <w:lang w:val="ru-RU"/>
              </w:rPr>
              <w:t>всіма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кредитами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Pr="00B60703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="00253D2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1 050 422,44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62B73" w:rsidRPr="00CD4F3E">
                <w:rPr>
                  <w:sz w:val="20"/>
                  <w:szCs w:val="20"/>
                </w:rPr>
                <w:t>http://torgi.fg.gov.ua:80/126649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84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945 380</w:t>
            </w:r>
            <w:r w:rsidR="008F16EF" w:rsidRPr="00A00155">
              <w:rPr>
                <w:sz w:val="20"/>
                <w:szCs w:val="20"/>
              </w:rPr>
              <w:t>,2</w:t>
            </w:r>
            <w:r w:rsidRPr="00A00155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840 337</w:t>
            </w:r>
            <w:r w:rsidR="008F16EF" w:rsidRPr="00A00155">
              <w:rPr>
                <w:b/>
                <w:sz w:val="20"/>
                <w:szCs w:val="20"/>
              </w:rPr>
              <w:t>,</w:t>
            </w:r>
            <w:r w:rsidRPr="00A0015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6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735 295,71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B60703" w:rsidP="005E4D7C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Q80926b13816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3" w:rsidRDefault="00B60703" w:rsidP="00F3313F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 xml:space="preserve">Право вимоги за кредитним договором №10410297000 (первісний договір 0Д06М845ІД) від 31.08.2006 </w:t>
            </w:r>
            <w:r w:rsidR="00E867B9">
              <w:rPr>
                <w:b/>
                <w:sz w:val="20"/>
                <w:szCs w:val="20"/>
              </w:rPr>
              <w:t>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="00E867B9">
              <w:rPr>
                <w:b/>
                <w:sz w:val="20"/>
                <w:szCs w:val="20"/>
              </w:rPr>
              <w:t xml:space="preserve">укладений з </w:t>
            </w:r>
            <w:r w:rsidR="00E867B9">
              <w:rPr>
                <w:b/>
                <w:sz w:val="20"/>
                <w:szCs w:val="20"/>
              </w:rPr>
              <w:lastRenderedPageBreak/>
              <w:t>фізичною особою*</w:t>
            </w:r>
            <w:r>
              <w:rPr>
                <w:b/>
                <w:sz w:val="20"/>
                <w:szCs w:val="20"/>
              </w:rPr>
              <w:t>.</w:t>
            </w:r>
          </w:p>
          <w:p w:rsidR="008F16EF" w:rsidRPr="00B60703" w:rsidRDefault="008F16EF" w:rsidP="00F3313F">
            <w:pPr>
              <w:rPr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>Забезпечення:</w:t>
            </w:r>
          </w:p>
          <w:p w:rsidR="008F16EF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16EF" w:rsidRPr="00B60703">
              <w:rPr>
                <w:sz w:val="20"/>
                <w:szCs w:val="20"/>
              </w:rPr>
              <w:t>Договір поруки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із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фізичною особою.</w:t>
            </w:r>
          </w:p>
          <w:p w:rsidR="00E867B9" w:rsidRDefault="00E867B9" w:rsidP="00F3313F">
            <w:pPr>
              <w:rPr>
                <w:sz w:val="20"/>
                <w:szCs w:val="20"/>
              </w:rPr>
            </w:pPr>
          </w:p>
          <w:p w:rsidR="00E867B9" w:rsidRPr="00E867B9" w:rsidRDefault="00E867B9" w:rsidP="00F3313F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858D9">
              <w:rPr>
                <w:b/>
                <w:sz w:val="20"/>
                <w:szCs w:val="20"/>
              </w:rPr>
              <w:t>№11400922000 від 03</w:t>
            </w:r>
            <w:r w:rsidRPr="00E867B9">
              <w:rPr>
                <w:b/>
                <w:sz w:val="20"/>
                <w:szCs w:val="20"/>
              </w:rPr>
              <w:t>.10.2008 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Pr="00E867B9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b/>
                <w:sz w:val="20"/>
                <w:szCs w:val="20"/>
              </w:rPr>
              <w:t>*</w:t>
            </w:r>
          </w:p>
          <w:p w:rsidR="00E867B9" w:rsidRDefault="00E867B9" w:rsidP="00E867B9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>Забезпечення:</w:t>
            </w:r>
          </w:p>
          <w:p w:rsidR="00A37707" w:rsidRDefault="00A37707" w:rsidP="00E867B9">
            <w:pPr>
              <w:rPr>
                <w:b/>
                <w:sz w:val="20"/>
                <w:szCs w:val="20"/>
              </w:rPr>
            </w:pP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1.</w:t>
            </w:r>
            <w:r w:rsidR="00731D6E">
              <w:rPr>
                <w:sz w:val="20"/>
                <w:szCs w:val="20"/>
              </w:rPr>
              <w:t>Автомобіль марки</w:t>
            </w:r>
            <w:r w:rsidRPr="00E867B9">
              <w:rPr>
                <w:sz w:val="20"/>
                <w:szCs w:val="20"/>
              </w:rPr>
              <w:t xml:space="preserve"> HONDA, модель ACCORD, рік випуску - 2008, колір - білий, тип ТЗ - купе легковий, об`єм двигуна 3471.</w:t>
            </w: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Заставодавцем є Позичальник.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2. Договір поруки із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</w:p>
          <w:p w:rsidR="00E867B9" w:rsidRPr="00B60703" w:rsidRDefault="00E867B9" w:rsidP="00E8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даним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кредитним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договор</w:t>
            </w:r>
            <w:r w:rsidR="00BD6C53">
              <w:rPr>
                <w:sz w:val="20"/>
                <w:szCs w:val="20"/>
                <w:lang w:val="ru-RU"/>
              </w:rPr>
              <w:t>а</w:t>
            </w:r>
            <w:r w:rsidRPr="00380DFF">
              <w:rPr>
                <w:sz w:val="20"/>
                <w:szCs w:val="20"/>
                <w:lang w:val="ru-RU"/>
              </w:rPr>
              <w:t>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r w:rsidRPr="00380D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третьої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особи,</w:t>
            </w:r>
            <w:r w:rsidRPr="00380DFF">
              <w:rPr>
                <w:sz w:val="20"/>
                <w:szCs w:val="20"/>
                <w:lang w:val="ru-RU"/>
              </w:rPr>
              <w:t>наразі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B60703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782 217,27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962B73" w:rsidP="00CD4F3E">
            <w:pPr>
              <w:jc w:val="center"/>
              <w:rPr>
                <w:sz w:val="20"/>
                <w:szCs w:val="20"/>
              </w:rPr>
            </w:pPr>
            <w:r w:rsidRPr="00CD4F3E">
              <w:rPr>
                <w:sz w:val="20"/>
                <w:szCs w:val="20"/>
              </w:rPr>
              <w:t>http://torgi.fg.gov.ua:80/126654</w:t>
            </w:r>
          </w:p>
        </w:tc>
      </w:tr>
      <w:tr w:rsidR="008F16EF" w:rsidRPr="00380DFF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703 995,54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B6070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E867B9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625 773,82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E867B9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547 552,09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37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07" w:rsidRDefault="00A37707" w:rsidP="00F3313F">
            <w:pPr>
              <w:rPr>
                <w:b/>
                <w:sz w:val="20"/>
                <w:szCs w:val="20"/>
                <w:lang w:val="ru-RU"/>
              </w:rPr>
            </w:pPr>
            <w:r w:rsidRPr="00A37707">
              <w:rPr>
                <w:b/>
                <w:sz w:val="20"/>
                <w:szCs w:val="20"/>
                <w:lang w:val="ru-RU"/>
              </w:rPr>
              <w:t>Право вимоги за кредитним договором №11020513000 від 21.07.2006 року, укладений з фізичною особою</w:t>
            </w:r>
            <w:r w:rsidR="008F16EF" w:rsidRPr="00A37707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A37707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proofErr w:type="gramStart"/>
            <w:r w:rsidRPr="00A37707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належними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нього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будівлями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спорудами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383,60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155,20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0,0906 га (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обл., м.</w:t>
            </w:r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Чернівці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  <w:proofErr w:type="gramEnd"/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Озерна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r w:rsidRPr="00A37707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A377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A37707" w:rsidRPr="00A37707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A37707" w:rsidRPr="00A37707">
              <w:rPr>
                <w:sz w:val="20"/>
                <w:szCs w:val="20"/>
                <w:lang w:val="ru-RU"/>
              </w:rPr>
              <w:t>р</w:t>
            </w:r>
            <w:proofErr w:type="gramEnd"/>
            <w:r w:rsidR="00A37707" w:rsidRPr="00A37707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особою</w:t>
            </w:r>
            <w:r w:rsidR="008F16EF" w:rsidRPr="00380DF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1 527 100,93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62B73" w:rsidRPr="00CD4F3E">
                <w:rPr>
                  <w:sz w:val="20"/>
                  <w:szCs w:val="20"/>
                </w:rPr>
                <w:t>http://torgi.fg.gov.ua:80/126656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1 374 390,84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1 221 680,74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1 068 970,65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1" w:rsidRPr="00BE7511" w:rsidRDefault="00BE7511" w:rsidP="00F3313F">
            <w:pPr>
              <w:rPr>
                <w:b/>
                <w:sz w:val="20"/>
                <w:szCs w:val="20"/>
                <w:lang w:val="ru-RU"/>
              </w:rPr>
            </w:pPr>
            <w:r w:rsidRPr="00BE7511">
              <w:rPr>
                <w:b/>
                <w:sz w:val="20"/>
                <w:szCs w:val="20"/>
                <w:lang w:val="ru-RU"/>
              </w:rPr>
              <w:t>Право вимоги за кредитним договором №11112524000 від 31.01.2007 року, укладений з фізичною особою.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BE7511" w:rsidRPr="009A74AA" w:rsidRDefault="00BE7511" w:rsidP="00F3313F">
            <w:pPr>
              <w:rPr>
                <w:sz w:val="20"/>
                <w:szCs w:val="20"/>
                <w:lang w:val="ru-RU"/>
              </w:rPr>
            </w:pP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 xml:space="preserve">1.Торговий комплекс з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житловими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приміщеннями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а 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торговий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площею 330,4 кв.м.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А, гараж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168,8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444B14">
              <w:rPr>
                <w:sz w:val="20"/>
                <w:szCs w:val="20"/>
                <w:lang w:val="ru-RU"/>
              </w:rPr>
              <w:t xml:space="preserve"> Б</w:t>
            </w:r>
            <w:proofErr w:type="gram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кладова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8,4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земельній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діл</w:t>
            </w:r>
            <w:r>
              <w:rPr>
                <w:sz w:val="20"/>
                <w:szCs w:val="20"/>
                <w:lang w:val="ru-RU"/>
              </w:rPr>
              <w:t>янці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площею 0,0981 га. </w:t>
            </w:r>
            <w:proofErr w:type="spellStart"/>
            <w:r>
              <w:rPr>
                <w:sz w:val="20"/>
                <w:szCs w:val="20"/>
                <w:lang w:val="ru-RU"/>
              </w:rPr>
              <w:t>Адреса:</w:t>
            </w:r>
            <w:r w:rsidRPr="00444B14">
              <w:rPr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Галицький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район, 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Бурштин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С.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Бандери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(1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Травня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>).</w:t>
            </w: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444B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444B14" w:rsidRPr="00444B14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444B14" w:rsidRPr="00444B14">
              <w:rPr>
                <w:sz w:val="20"/>
                <w:szCs w:val="20"/>
                <w:lang w:val="ru-RU"/>
              </w:rPr>
              <w:t>р</w:t>
            </w:r>
            <w:proofErr w:type="gramEnd"/>
            <w:r w:rsidR="00444B14" w:rsidRPr="00444B14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863 161,91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62B73" w:rsidRPr="00CD4F3E">
                <w:rPr>
                  <w:sz w:val="20"/>
                  <w:szCs w:val="20"/>
                </w:rPr>
                <w:t>http://torgi.fg.gov.ua:80/126657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776 845,72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690 529,53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604 213,34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423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34" w:rsidRDefault="00245A34" w:rsidP="00F3313F">
            <w:pPr>
              <w:rPr>
                <w:b/>
                <w:sz w:val="20"/>
                <w:szCs w:val="20"/>
                <w:lang w:val="ru-RU"/>
              </w:rPr>
            </w:pPr>
            <w:r w:rsidRPr="00245A34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№9/25ДС/0761/2006-НВВклн від 14.09.2006 року, укладений з фізичною </w:t>
            </w:r>
            <w:proofErr w:type="gramStart"/>
            <w:r w:rsidRPr="00245A34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Pr="00245A34">
              <w:rPr>
                <w:b/>
                <w:sz w:val="20"/>
                <w:szCs w:val="20"/>
                <w:lang w:val="ru-RU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245A34" w:rsidRPr="00245A34" w:rsidRDefault="00245A34" w:rsidP="00F3313F">
            <w:pPr>
              <w:rPr>
                <w:sz w:val="20"/>
                <w:szCs w:val="20"/>
                <w:lang w:val="ru-RU"/>
              </w:rPr>
            </w:pPr>
          </w:p>
          <w:p w:rsidR="00245A34" w:rsidRPr="00245A34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 xml:space="preserve">Приміщення площею-443,8кв.м. на 5-му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поверсі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45A34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245A34">
              <w:rPr>
                <w:sz w:val="20"/>
                <w:szCs w:val="20"/>
                <w:lang w:val="ru-RU"/>
              </w:rPr>
              <w:t>іністративно-торгівельного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комплексу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. А-6,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Шевченка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>.</w:t>
            </w:r>
          </w:p>
          <w:p w:rsidR="008F16EF" w:rsidRPr="00380DFF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1 350 090,68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62B73" w:rsidRPr="00CD4F3E">
                <w:rPr>
                  <w:sz w:val="20"/>
                  <w:szCs w:val="20"/>
                </w:rPr>
                <w:t>http://torgi.fg.gov.ua:80/126658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</w:t>
            </w:r>
            <w:r w:rsidRPr="00A00155">
              <w:rPr>
                <w:sz w:val="20"/>
                <w:szCs w:val="20"/>
              </w:rPr>
              <w:lastRenderedPageBreak/>
              <w:t xml:space="preserve">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1 215 081,61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1 080 072,54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3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945 063,48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2A" w:rsidRPr="0040162A" w:rsidRDefault="0040162A" w:rsidP="00F3313F">
            <w:pPr>
              <w:rPr>
                <w:b/>
                <w:sz w:val="20"/>
                <w:szCs w:val="20"/>
              </w:rPr>
            </w:pPr>
            <w:r w:rsidRPr="00B76EC2">
              <w:rPr>
                <w:b/>
                <w:sz w:val="20"/>
                <w:szCs w:val="20"/>
              </w:rPr>
              <w:t>Право вимоги за кредитними договорами №11052839000 від 06.10.2006 року,</w:t>
            </w:r>
            <w:r w:rsidRPr="0040162A">
              <w:rPr>
                <w:b/>
                <w:sz w:val="20"/>
                <w:szCs w:val="20"/>
              </w:rPr>
              <w:t xml:space="preserve"> №1113067600</w:t>
            </w:r>
            <w:r w:rsidR="00C5161A">
              <w:rPr>
                <w:b/>
                <w:sz w:val="20"/>
                <w:szCs w:val="20"/>
              </w:rPr>
              <w:t>0 від 22.03.2007 року, укладені</w:t>
            </w:r>
            <w:r w:rsidRPr="0040162A">
              <w:rPr>
                <w:b/>
                <w:sz w:val="20"/>
                <w:szCs w:val="20"/>
              </w:rPr>
              <w:t xml:space="preserve"> з фізичною особою</w:t>
            </w:r>
            <w:r w:rsidR="008F16EF" w:rsidRPr="0040162A">
              <w:rPr>
                <w:b/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40162A" w:rsidRPr="0040162A" w:rsidRDefault="0040162A" w:rsidP="00F3313F">
            <w:pPr>
              <w:rPr>
                <w:sz w:val="20"/>
                <w:szCs w:val="20"/>
              </w:rPr>
            </w:pPr>
          </w:p>
          <w:p w:rsidR="0040162A" w:rsidRPr="0040162A" w:rsidRDefault="00875EFA" w:rsidP="0040162A">
            <w:pPr>
              <w:rPr>
                <w:sz w:val="20"/>
                <w:szCs w:val="20"/>
                <w:lang w:val="ru-RU"/>
              </w:rPr>
            </w:pPr>
            <w:r w:rsidRPr="00875EFA">
              <w:rPr>
                <w:sz w:val="20"/>
                <w:szCs w:val="20"/>
                <w:lang w:val="ru-RU"/>
              </w:rPr>
              <w:t>1.</w:t>
            </w:r>
            <w:r w:rsidR="0040162A" w:rsidRPr="0040162A">
              <w:rPr>
                <w:sz w:val="20"/>
                <w:szCs w:val="20"/>
                <w:lang w:val="ru-RU"/>
              </w:rPr>
              <w:t xml:space="preserve">5-кімнатна квартира загальною площею-180,42 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житл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 пл. 115,03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що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вулиця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Успенська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>, буд. 60.</w:t>
            </w:r>
          </w:p>
          <w:p w:rsidR="0040162A" w:rsidRPr="0040162A" w:rsidRDefault="0040162A" w:rsidP="0040162A">
            <w:pPr>
              <w:rPr>
                <w:sz w:val="20"/>
                <w:szCs w:val="20"/>
                <w:lang w:val="ru-RU"/>
              </w:rPr>
            </w:pPr>
            <w:r w:rsidRPr="0040162A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40162A" w:rsidRPr="0040162A" w:rsidRDefault="0040162A" w:rsidP="0040162A">
            <w:pPr>
              <w:rPr>
                <w:sz w:val="20"/>
                <w:szCs w:val="20"/>
                <w:lang w:val="ru-RU"/>
              </w:rPr>
            </w:pPr>
            <w:proofErr w:type="spellStart"/>
            <w:r w:rsidRPr="0040162A">
              <w:rPr>
                <w:sz w:val="20"/>
                <w:szCs w:val="20"/>
                <w:lang w:val="ru-RU"/>
              </w:rPr>
              <w:t>Іпотека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два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кредити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Позичальника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Pr="0040162A" w:rsidRDefault="00875EFA" w:rsidP="004016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D33732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D33732">
              <w:rPr>
                <w:sz w:val="20"/>
                <w:szCs w:val="20"/>
                <w:lang w:val="ru-RU"/>
              </w:rPr>
              <w:t>р</w:t>
            </w:r>
            <w:proofErr w:type="gramEnd"/>
            <w:r w:rsidR="00D33732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D33732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D3373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3732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D33732">
              <w:rPr>
                <w:sz w:val="20"/>
                <w:szCs w:val="20"/>
                <w:lang w:val="ru-RU"/>
              </w:rPr>
              <w:t xml:space="preserve"> особою</w:t>
            </w:r>
            <w:r w:rsidR="004016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Фіз</w:t>
            </w:r>
            <w:r w:rsidR="00B76EC2">
              <w:rPr>
                <w:sz w:val="20"/>
                <w:szCs w:val="20"/>
                <w:lang w:val="ru-RU"/>
              </w:rPr>
              <w:t>ична</w:t>
            </w:r>
            <w:proofErr w:type="spellEnd"/>
            <w:r w:rsidR="00B76EC2">
              <w:rPr>
                <w:sz w:val="20"/>
                <w:szCs w:val="20"/>
                <w:lang w:val="ru-RU"/>
              </w:rPr>
              <w:t xml:space="preserve"> особа є поручителем </w:t>
            </w:r>
            <w:proofErr w:type="gramStart"/>
            <w:r w:rsidR="00B76EC2">
              <w:rPr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B76EC2">
              <w:rPr>
                <w:sz w:val="20"/>
                <w:szCs w:val="20"/>
                <w:lang w:val="ru-RU"/>
              </w:rPr>
              <w:t>двох</w:t>
            </w:r>
            <w:proofErr w:type="spellEnd"/>
            <w:proofErr w:type="gramEnd"/>
            <w:r w:rsidR="00B76EC2">
              <w:rPr>
                <w:sz w:val="20"/>
                <w:szCs w:val="20"/>
                <w:lang w:val="ru-RU"/>
              </w:rPr>
              <w:t xml:space="preserve"> кредитах</w:t>
            </w:r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Позичальника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1 863 755,88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13812" w:rsidRPr="00CD4F3E">
                <w:rPr>
                  <w:rStyle w:val="a3"/>
                  <w:sz w:val="20"/>
                  <w:szCs w:val="20"/>
                </w:rPr>
                <w:t>http://torgi.fg.gov.ua:80/114833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1 677 380,29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1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1 491 004,70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1 304 629,12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38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A0" w:rsidRDefault="00147BA0" w:rsidP="00F3313F">
            <w:pPr>
              <w:rPr>
                <w:sz w:val="20"/>
                <w:szCs w:val="20"/>
              </w:rPr>
            </w:pPr>
            <w:r w:rsidRPr="00147BA0">
              <w:rPr>
                <w:b/>
                <w:sz w:val="20"/>
                <w:szCs w:val="20"/>
              </w:rPr>
              <w:t>Право вимоги за кредитним договором №49.32/121/08-Сз від 18.03.2008 року, укладений з фізичною особою</w:t>
            </w:r>
            <w:r w:rsidRPr="00147BA0">
              <w:rPr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1.Земельні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Іпотекодавцем є </w:t>
            </w:r>
            <w:r w:rsidR="00B76EC2">
              <w:rPr>
                <w:sz w:val="20"/>
                <w:szCs w:val="20"/>
                <w:lang w:val="ru-RU"/>
              </w:rPr>
              <w:t>П</w:t>
            </w:r>
            <w:r w:rsidR="003856CE">
              <w:rPr>
                <w:sz w:val="20"/>
                <w:szCs w:val="20"/>
                <w:lang w:val="ru-RU"/>
              </w:rPr>
              <w:t>озичальник</w:t>
            </w:r>
            <w:r w:rsidRPr="00174B35">
              <w:rPr>
                <w:sz w:val="20"/>
                <w:szCs w:val="20"/>
                <w:lang w:val="ru-RU"/>
              </w:rPr>
              <w:t>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74B35">
              <w:rPr>
                <w:sz w:val="20"/>
                <w:szCs w:val="20"/>
                <w:lang w:val="ru-RU"/>
              </w:rPr>
              <w:t>Догов</w:t>
            </w:r>
            <w:r w:rsidR="00B76EC2">
              <w:rPr>
                <w:sz w:val="20"/>
                <w:szCs w:val="20"/>
                <w:lang w:val="ru-RU"/>
              </w:rPr>
              <w:t>о</w:t>
            </w:r>
            <w:r w:rsidR="00174B35">
              <w:rPr>
                <w:sz w:val="20"/>
                <w:szCs w:val="20"/>
                <w:lang w:val="ru-RU"/>
              </w:rPr>
              <w:t>р</w:t>
            </w:r>
            <w:r w:rsidR="00B76EC2">
              <w:rPr>
                <w:sz w:val="20"/>
                <w:szCs w:val="20"/>
                <w:lang w:val="ru-RU"/>
              </w:rPr>
              <w:t>и</w:t>
            </w:r>
            <w:r w:rsidR="00174B35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особами (2 договори)</w:t>
            </w:r>
            <w:r w:rsidR="00174B35" w:rsidRPr="00174B3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1 836 324,14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731D6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4" w:history="1">
              <w:r w:rsidR="00731D6E" w:rsidRPr="00260572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http://torgi.fg.gov.ua:80/114834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1 652 691,73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1 469 059,31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6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1 285 426,90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8" w:rsidRDefault="00082398" w:rsidP="00F3313F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>Право вимоги за кредитним договором №НКЛ-3423123 від 01.06.2012 року,</w:t>
            </w:r>
            <w:r w:rsidR="00B76EC2">
              <w:rPr>
                <w:b/>
                <w:sz w:val="20"/>
                <w:szCs w:val="20"/>
              </w:rPr>
              <w:t xml:space="preserve"> </w:t>
            </w:r>
            <w:r w:rsidRPr="00082398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</w:t>
            </w:r>
            <w:r w:rsidRPr="00380DFF">
              <w:rPr>
                <w:sz w:val="20"/>
                <w:szCs w:val="20"/>
              </w:rPr>
              <w:t>:</w:t>
            </w:r>
          </w:p>
          <w:p w:rsidR="00082398" w:rsidRPr="009A74AA" w:rsidRDefault="00082398" w:rsidP="00F3313F">
            <w:pPr>
              <w:rPr>
                <w:sz w:val="20"/>
                <w:szCs w:val="20"/>
                <w:lang w:val="ru-RU"/>
              </w:rPr>
            </w:pPr>
          </w:p>
          <w:p w:rsidR="00082398" w:rsidRPr="00082398" w:rsidRDefault="00875EFA" w:rsidP="000823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82398" w:rsidRPr="00082398">
              <w:rPr>
                <w:sz w:val="20"/>
                <w:szCs w:val="20"/>
                <w:lang w:val="ru-RU"/>
              </w:rPr>
              <w:t xml:space="preserve">Земельна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7,4331 га,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="00082398"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="00082398"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lastRenderedPageBreak/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4,1939 га,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4,8554 га, 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="00282492">
              <w:rPr>
                <w:sz w:val="20"/>
                <w:szCs w:val="20"/>
                <w:lang w:val="ru-RU"/>
              </w:rPr>
              <w:t xml:space="preserve"> 7,0912 га,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8F16EF" w:rsidRPr="00380DFF" w:rsidRDefault="00082398" w:rsidP="00F3313F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3 223 424,02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459AA" w:rsidRPr="00CD4F3E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http://torgi.fg.gov.ua:80/114835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2 901 081,62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 xml:space="preserve">На третіх відкритих торгах </w:t>
            </w:r>
            <w:r w:rsidRPr="00A00155">
              <w:rPr>
                <w:b/>
                <w:sz w:val="20"/>
                <w:szCs w:val="20"/>
              </w:rPr>
              <w:lastRenderedPageBreak/>
              <w:t>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lastRenderedPageBreak/>
              <w:t>2 578 739,22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101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8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2 256 396,81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398" w:rsidRDefault="00082398" w:rsidP="00811774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>Право вимоги за кредитним договором №49.53/21-Z/08/02 від 01.04.2008 року, укладений з фізичною особою</w:t>
            </w:r>
            <w:r w:rsidR="008F16EF" w:rsidRPr="00082398">
              <w:rPr>
                <w:b/>
                <w:sz w:val="20"/>
                <w:szCs w:val="20"/>
              </w:rPr>
              <w:t>.</w:t>
            </w:r>
          </w:p>
          <w:p w:rsidR="008F16EF" w:rsidRDefault="008F16EF" w:rsidP="00811774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082398" w:rsidRDefault="00082398" w:rsidP="00811774">
            <w:pPr>
              <w:rPr>
                <w:b/>
                <w:sz w:val="20"/>
                <w:szCs w:val="20"/>
              </w:rPr>
            </w:pPr>
          </w:p>
          <w:p w:rsidR="00082398" w:rsidRPr="00082398" w:rsidRDefault="00875EFA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82398" w:rsidRPr="00082398">
              <w:rPr>
                <w:sz w:val="20"/>
                <w:szCs w:val="20"/>
                <w:lang w:val="ru-RU"/>
              </w:rPr>
              <w:t xml:space="preserve">Земельна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0,2500 га, за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р-н, с. ПП Борщагівка, вул.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Зої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Космодем'янської.</w:t>
            </w:r>
            <w:proofErr w:type="gramStart"/>
            <w:r w:rsidR="00082398" w:rsidRPr="00082398">
              <w:rPr>
                <w:sz w:val="20"/>
                <w:szCs w:val="20"/>
                <w:lang w:val="ru-RU"/>
              </w:rPr>
              <w:t>Ц</w:t>
            </w:r>
            <w:proofErr w:type="gramEnd"/>
            <w:r w:rsidR="00082398" w:rsidRPr="00082398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8B2020" w:rsidP="0081177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 і </w:t>
            </w:r>
            <w:proofErr w:type="spellStart"/>
            <w:r w:rsidR="00BC41D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озичальник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8F16EF" w:rsidRPr="00082398" w:rsidRDefault="00082398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</w:t>
            </w:r>
            <w:r w:rsidR="00BC41D0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(2 договори)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2 136 602,01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1421E0" w:rsidRPr="00CD4F3E">
                <w:rPr>
                  <w:rStyle w:val="a3"/>
                  <w:rFonts w:ascii="Arial" w:hAnsi="Arial" w:cs="Arial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http://torgi.fg.gov.ua:80/114807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1 922 941,81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1 709 281,61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1 495 621,41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b/>
                <w:sz w:val="20"/>
                <w:szCs w:val="20"/>
                <w:lang w:val="ru-RU"/>
              </w:rPr>
              <w:t>Право вимоги за кредитним договором №11187859000 від 24.07.2007 року, укладений з фізичною особою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3220BB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</w:p>
          <w:p w:rsidR="003220BB" w:rsidRPr="003220BB" w:rsidRDefault="003220BB" w:rsidP="003220BB">
            <w:pPr>
              <w:rPr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t xml:space="preserve">Автомобіль марки </w:t>
            </w:r>
            <w:proofErr w:type="gramStart"/>
            <w:r w:rsidRPr="003220BB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3220BB">
              <w:rPr>
                <w:sz w:val="20"/>
                <w:szCs w:val="20"/>
                <w:lang w:val="ru-RU"/>
              </w:rPr>
              <w:t>ІА, модель Cerato, 2007 р.в,.</w:t>
            </w:r>
          </w:p>
          <w:p w:rsidR="003220BB" w:rsidRP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t>Заставодавцем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111 948,82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A805F6" w:rsidP="00CD4F3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FD7776" w:rsidRPr="00CD4F3E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http://torgi.fg.gov.ua:80/114522</w:t>
              </w:r>
            </w:hyperlink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100 753,94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89 559,06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78 364,17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FD7776" w:rsidRPr="00CD4F3E" w:rsidTr="00CD4F3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 w:val="restart"/>
            <w:vAlign w:val="center"/>
          </w:tcPr>
          <w:p w:rsidR="00FD7776" w:rsidRDefault="00FD7776" w:rsidP="00D63746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gridSpan w:val="2"/>
            <w:vMerge w:val="restart"/>
          </w:tcPr>
          <w:p w:rsidR="00FD7776" w:rsidRDefault="00FD7776" w:rsidP="005E4D7C">
            <w:pPr>
              <w:rPr>
                <w:b/>
                <w:sz w:val="20"/>
                <w:szCs w:val="20"/>
              </w:rPr>
            </w:pPr>
            <w:r w:rsidRPr="00781B93">
              <w:rPr>
                <w:b/>
                <w:sz w:val="20"/>
                <w:szCs w:val="20"/>
              </w:rPr>
              <w:t>Право вимоги за кредитним договором №49.4/170/07-Cз від 27.12.2007 року, укладений з фізичною особою.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Земельні ділянки: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діл.№128,130,132,134,136,140 </w:t>
            </w:r>
            <w:proofErr w:type="spellStart"/>
            <w:r w:rsidRPr="00781B93">
              <w:rPr>
                <w:sz w:val="20"/>
                <w:szCs w:val="20"/>
              </w:rPr>
              <w:lastRenderedPageBreak/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>. 1,5001 га .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№168,170,172,174,176,178,180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1,7499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№137,139,141,143,145,147,149,151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1,9053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№153,155,157,159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0,8734 га </w:t>
            </w:r>
          </w:p>
          <w:p w:rsidR="00FD7776" w:rsidRPr="00781B93" w:rsidRDefault="00BC41D0" w:rsidP="0078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 розташовані за адресою: </w:t>
            </w:r>
            <w:r w:rsidR="00FD7776" w:rsidRPr="00781B93">
              <w:rPr>
                <w:sz w:val="20"/>
                <w:szCs w:val="20"/>
              </w:rPr>
              <w:t xml:space="preserve">Києво-Святошинський р-н., с. Бобриця, вул Заозерна. </w:t>
            </w:r>
          </w:p>
          <w:p w:rsidR="00FD7776" w:rsidRPr="00781B93" w:rsidRDefault="00FD7776" w:rsidP="00781B93">
            <w:pPr>
              <w:rPr>
                <w:b/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Заставодавцем є фізична особа.</w:t>
            </w: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8 862 609,31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D7776" w:rsidRPr="00875EFA" w:rsidRDefault="00A805F6" w:rsidP="00875EFA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A805F6">
              <w:instrText xml:space="preserve"> </w:instrText>
            </w:r>
            <w:r>
              <w:instrText>HYPERLINK</w:instrText>
            </w:r>
            <w:r w:rsidRPr="00A805F6">
              <w:instrText xml:space="preserve"> "</w:instrText>
            </w:r>
            <w:r>
              <w:instrText>http</w:instrText>
            </w:r>
            <w:r w:rsidRPr="00A805F6">
              <w:instrText>://</w:instrText>
            </w:r>
            <w:r>
              <w:instrText>torgi</w:instrText>
            </w:r>
            <w:r w:rsidRPr="00A805F6">
              <w:instrText>.</w:instrText>
            </w:r>
            <w:r>
              <w:instrText>fg</w:instrText>
            </w:r>
            <w:r w:rsidRPr="00A805F6">
              <w:instrText>.</w:instrText>
            </w:r>
            <w:r>
              <w:instrText>gov</w:instrText>
            </w:r>
            <w:r w:rsidRPr="00A805F6">
              <w:instrText>.</w:instrText>
            </w:r>
            <w:r>
              <w:instrText>ua</w:instrText>
            </w:r>
            <w:r w:rsidRPr="00A805F6">
              <w:instrText xml:space="preserve">:80/114801" </w:instrText>
            </w:r>
            <w:r>
              <w:fldChar w:fldCharType="separate"/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</w:rPr>
              <w:t>http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://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</w:rPr>
              <w:t>torgi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</w:rPr>
              <w:t>fg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</w:rPr>
              <w:t>gov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</w:rPr>
              <w:t>ua</w:t>
            </w:r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:80/114</w:t>
            </w:r>
            <w:bookmarkStart w:id="0" w:name="_GoBack"/>
            <w:bookmarkEnd w:id="0"/>
            <w:r w:rsidR="00FD7776" w:rsidRPr="00CD4F3E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801</w:t>
            </w:r>
            <w:r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fldChar w:fldCharType="end"/>
            </w: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</w:t>
            </w:r>
            <w:r w:rsidRPr="00A00155">
              <w:rPr>
                <w:sz w:val="20"/>
                <w:szCs w:val="20"/>
              </w:rPr>
              <w:lastRenderedPageBreak/>
              <w:t>(аукціоні) 01.09.2017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7 976 348,38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2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7 090 087,45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401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6 203 826,52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</w:tbl>
    <w:p w:rsidR="00D63746" w:rsidRPr="00380DFF" w:rsidRDefault="00D63746" w:rsidP="005E4D7C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E47524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№ </w:t>
            </w:r>
            <w:r w:rsidR="00BD678C">
              <w:rPr>
                <w:sz w:val="20"/>
                <w:szCs w:val="20"/>
                <w:lang w:val="ru-RU"/>
              </w:rPr>
              <w:t>3145</w:t>
            </w:r>
            <w:r w:rsidR="00C262F5" w:rsidRPr="00380DFF">
              <w:rPr>
                <w:sz w:val="20"/>
                <w:szCs w:val="20"/>
              </w:rPr>
              <w:t xml:space="preserve">, </w:t>
            </w:r>
            <w:r w:rsidR="00014652" w:rsidRPr="00380DFF">
              <w:rPr>
                <w:sz w:val="20"/>
                <w:szCs w:val="20"/>
                <w:lang w:val="ru-RU"/>
              </w:rPr>
              <w:t>3</w:t>
            </w:r>
            <w:r w:rsidR="00BD678C">
              <w:rPr>
                <w:sz w:val="20"/>
                <w:szCs w:val="20"/>
              </w:rPr>
              <w:t>155</w:t>
            </w:r>
            <w:r w:rsidR="00A17A6C" w:rsidRPr="00380DFF">
              <w:rPr>
                <w:sz w:val="20"/>
                <w:szCs w:val="20"/>
              </w:rPr>
              <w:t xml:space="preserve"> від </w:t>
            </w:r>
            <w:r w:rsidR="00BD678C">
              <w:rPr>
                <w:sz w:val="20"/>
                <w:szCs w:val="20"/>
                <w:lang w:val="en-US"/>
              </w:rPr>
              <w:t>2</w:t>
            </w:r>
            <w:r w:rsidR="00BD678C">
              <w:rPr>
                <w:sz w:val="20"/>
                <w:szCs w:val="20"/>
              </w:rPr>
              <w:t>4</w:t>
            </w:r>
            <w:r w:rsidR="00422C7A" w:rsidRPr="00380DFF">
              <w:rPr>
                <w:sz w:val="20"/>
                <w:szCs w:val="20"/>
              </w:rPr>
              <w:t>.07</w:t>
            </w:r>
            <w:r w:rsidR="00760A63" w:rsidRPr="00380DFF">
              <w:rPr>
                <w:sz w:val="20"/>
                <w:szCs w:val="20"/>
              </w:rPr>
              <w:t>.2017 р.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Організат</w:t>
            </w:r>
            <w:r w:rsidR="008F16EF" w:rsidRPr="00380DFF">
              <w:rPr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F6448D" w:rsidRPr="00F6448D" w:rsidRDefault="00F6448D" w:rsidP="00F6448D">
            <w:pPr>
              <w:rPr>
                <w:b/>
                <w:sz w:val="20"/>
                <w:szCs w:val="20"/>
              </w:rPr>
            </w:pPr>
            <w:r w:rsidRPr="00F6448D">
              <w:rPr>
                <w:b/>
                <w:sz w:val="20"/>
                <w:szCs w:val="20"/>
              </w:rPr>
              <w:t>ТОВ «НЬЮТЕНД»,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 xml:space="preserve"> працює щоденно, крім вихідних, з 09:00 до 18:00, за адресою: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F6448D">
                <w:rPr>
                  <w:sz w:val="20"/>
                  <w:szCs w:val="20"/>
                </w:rPr>
                <w:t>04071, м</w:t>
              </w:r>
            </w:smartTag>
            <w:r w:rsidRPr="00F6448D">
              <w:rPr>
                <w:sz w:val="20"/>
                <w:szCs w:val="20"/>
              </w:rPr>
              <w:t xml:space="preserve">. Київ, провулок Ярославський, 1/3, </w:t>
            </w:r>
            <w:proofErr w:type="spellStart"/>
            <w:r w:rsidRPr="00F6448D">
              <w:rPr>
                <w:sz w:val="20"/>
                <w:szCs w:val="20"/>
              </w:rPr>
              <w:t>тел</w:t>
            </w:r>
            <w:proofErr w:type="spellEnd"/>
            <w:r w:rsidRPr="00F6448D">
              <w:rPr>
                <w:sz w:val="20"/>
                <w:szCs w:val="20"/>
              </w:rPr>
              <w:t>. (044) 355-61-80.,</w:t>
            </w:r>
            <w:hyperlink r:id="rId18" w:history="1">
              <w:r w:rsidRPr="00F6448D">
                <w:rPr>
                  <w:sz w:val="20"/>
                </w:rPr>
                <w:t>https://www.ea.newtend.com</w:t>
              </w:r>
            </w:hyperlink>
            <w:r w:rsidRPr="00F6448D">
              <w:rPr>
                <w:sz w:val="20"/>
                <w:szCs w:val="20"/>
              </w:rPr>
              <w:t>та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>Посилання на перелік організаторі</w:t>
            </w:r>
            <w:r w:rsidR="00731D6E">
              <w:rPr>
                <w:sz w:val="20"/>
                <w:szCs w:val="20"/>
              </w:rPr>
              <w:t>в відкритих торгів (аукціонів):</w:t>
            </w:r>
          </w:p>
          <w:p w:rsidR="00715FA9" w:rsidRPr="00A23C69" w:rsidRDefault="00A805F6" w:rsidP="00F6448D">
            <w:pPr>
              <w:rPr>
                <w:sz w:val="20"/>
                <w:szCs w:val="20"/>
              </w:rPr>
            </w:pPr>
            <w:hyperlink r:id="rId19" w:history="1">
              <w:r w:rsidR="00F6448D" w:rsidRPr="00F6448D">
                <w:rPr>
                  <w:sz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5% (п’ять) відсотків </w:t>
            </w:r>
            <w:r w:rsidR="00715FA9" w:rsidRPr="00380DFF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BC41D0">
              <w:rPr>
                <w:sz w:val="20"/>
                <w:szCs w:val="20"/>
              </w:rPr>
              <w:t xml:space="preserve"> </w:t>
            </w:r>
            <w:hyperlink r:id="rId20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Крок аукціону – </w:t>
            </w:r>
            <w:r w:rsidR="00760A63" w:rsidRPr="00380DFF">
              <w:rPr>
                <w:sz w:val="20"/>
                <w:szCs w:val="20"/>
              </w:rPr>
              <w:t xml:space="preserve">не менше 1 % </w:t>
            </w:r>
            <w:r w:rsidRPr="00380DFF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380DFF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380DFF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380DFF" w:rsidRDefault="00715FA9" w:rsidP="00BC41D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2) </w:t>
            </w:r>
            <w:r w:rsidR="00760A63" w:rsidRPr="00380DFF">
              <w:rPr>
                <w:sz w:val="20"/>
                <w:szCs w:val="20"/>
              </w:rPr>
              <w:t xml:space="preserve">АТ «Дельта Банк» </w:t>
            </w:r>
            <w:proofErr w:type="spellStart"/>
            <w:r w:rsidR="00760A63" w:rsidRPr="00380DFF">
              <w:rPr>
                <w:sz w:val="20"/>
                <w:szCs w:val="20"/>
              </w:rPr>
              <w:t>Те</w:t>
            </w:r>
            <w:r w:rsidR="00A00155">
              <w:rPr>
                <w:sz w:val="20"/>
                <w:szCs w:val="20"/>
              </w:rPr>
              <w:t>л</w:t>
            </w:r>
            <w:proofErr w:type="spellEnd"/>
            <w:r w:rsidR="00A00155">
              <w:rPr>
                <w:sz w:val="20"/>
                <w:szCs w:val="20"/>
              </w:rPr>
              <w:t>. (044) 500-00-18, м. Київ, б</w:t>
            </w:r>
            <w:r w:rsidR="00A00155" w:rsidRPr="00A00155">
              <w:rPr>
                <w:sz w:val="20"/>
                <w:szCs w:val="20"/>
                <w:lang w:val="ru-RU"/>
              </w:rPr>
              <w:t>-</w:t>
            </w:r>
            <w:r w:rsidR="00A00155"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 w:rsidRPr="00380DFF">
              <w:rPr>
                <w:sz w:val="20"/>
                <w:szCs w:val="20"/>
              </w:rPr>
              <w:t xml:space="preserve">; електронна пошта: </w:t>
            </w:r>
            <w:hyperlink r:id="rId22" w:history="1">
              <w:r w:rsidR="00760A63"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380DFF">
              <w:rPr>
                <w:sz w:val="20"/>
                <w:szCs w:val="20"/>
              </w:rPr>
              <w:t>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380DFF">
              <w:rPr>
                <w:sz w:val="20"/>
                <w:szCs w:val="20"/>
              </w:rPr>
              <w:t>Тел</w:t>
            </w:r>
            <w:proofErr w:type="spellEnd"/>
            <w:r w:rsidRPr="00380DFF">
              <w:rPr>
                <w:sz w:val="20"/>
                <w:szCs w:val="20"/>
              </w:rPr>
              <w:t xml:space="preserve">. (044) 500-00-18, </w:t>
            </w:r>
          </w:p>
          <w:p w:rsidR="00A00155" w:rsidRDefault="00A00155" w:rsidP="00A001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м. Київ б</w:t>
            </w:r>
            <w:r>
              <w:rPr>
                <w:sz w:val="20"/>
                <w:szCs w:val="20"/>
                <w:lang w:val="ru-RU"/>
              </w:rPr>
              <w:t>-р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15FA9" w:rsidRPr="00380DFF" w:rsidRDefault="00760A63" w:rsidP="00A00155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 </w:t>
            </w:r>
            <w:hyperlink r:id="rId23" w:history="1">
              <w:r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75EFA" w:rsidRDefault="00D94E2F" w:rsidP="005E4D7C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A17A6C" w:rsidRPr="00875EFA">
              <w:rPr>
                <w:sz w:val="20"/>
                <w:szCs w:val="20"/>
              </w:rPr>
              <w:t>ціон)</w:t>
            </w:r>
            <w:r w:rsidR="00715FA9" w:rsidRPr="00875EFA">
              <w:rPr>
                <w:sz w:val="20"/>
                <w:szCs w:val="20"/>
              </w:rPr>
              <w:t xml:space="preserve"> – </w:t>
            </w:r>
            <w:r w:rsidR="00380DFF" w:rsidRPr="00875EFA">
              <w:rPr>
                <w:sz w:val="20"/>
                <w:szCs w:val="20"/>
              </w:rPr>
              <w:t>15</w:t>
            </w:r>
            <w:r w:rsidR="00C262F5" w:rsidRPr="00875EFA">
              <w:rPr>
                <w:sz w:val="20"/>
                <w:szCs w:val="20"/>
              </w:rPr>
              <w:t>.0</w:t>
            </w:r>
            <w:r w:rsidR="00A17A6C" w:rsidRPr="00875EFA">
              <w:rPr>
                <w:sz w:val="20"/>
                <w:szCs w:val="20"/>
              </w:rPr>
              <w:t>8</w:t>
            </w:r>
            <w:r w:rsidR="00760A63" w:rsidRPr="00875EFA">
              <w:rPr>
                <w:sz w:val="20"/>
                <w:szCs w:val="20"/>
              </w:rPr>
              <w:t>.2017</w:t>
            </w:r>
          </w:p>
          <w:p w:rsidR="00715FA9" w:rsidRPr="00A00155" w:rsidRDefault="00D94E2F" w:rsidP="005E4D7C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(аук</w:t>
            </w:r>
            <w:r w:rsidR="00A17A6C" w:rsidRPr="00A00155">
              <w:rPr>
                <w:sz w:val="20"/>
                <w:szCs w:val="20"/>
              </w:rPr>
              <w:t xml:space="preserve">ціон) </w:t>
            </w:r>
            <w:r w:rsidR="00715FA9"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</w:rPr>
              <w:t>01.09</w:t>
            </w:r>
            <w:r w:rsidR="000378A6" w:rsidRPr="00A00155">
              <w:rPr>
                <w:sz w:val="20"/>
                <w:szCs w:val="20"/>
              </w:rPr>
              <w:t>.2017</w:t>
            </w:r>
          </w:p>
          <w:p w:rsidR="00715FA9" w:rsidRPr="00A00155" w:rsidRDefault="00715FA9" w:rsidP="005E4D7C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Треті в</w:t>
            </w:r>
            <w:r w:rsidR="00A17A6C" w:rsidRPr="00A00155">
              <w:rPr>
                <w:b/>
                <w:sz w:val="20"/>
                <w:szCs w:val="20"/>
              </w:rPr>
              <w:t>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</w:rPr>
              <w:t>19</w:t>
            </w:r>
            <w:r w:rsidR="00846F31" w:rsidRPr="00A00155">
              <w:rPr>
                <w:b/>
                <w:sz w:val="20"/>
                <w:szCs w:val="20"/>
              </w:rPr>
              <w:t>.09</w:t>
            </w:r>
            <w:r w:rsidR="000378A6" w:rsidRPr="00A00155">
              <w:rPr>
                <w:b/>
                <w:sz w:val="20"/>
                <w:szCs w:val="20"/>
              </w:rPr>
              <w:t>.2017</w:t>
            </w:r>
          </w:p>
          <w:p w:rsidR="008A7180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Четве</w:t>
            </w:r>
            <w:r w:rsidR="00846F31" w:rsidRPr="00380DFF">
              <w:rPr>
                <w:sz w:val="20"/>
                <w:szCs w:val="20"/>
              </w:rPr>
              <w:t>рті відкриті   торги (</w:t>
            </w:r>
            <w:r w:rsidR="00D94E2F" w:rsidRPr="00380DFF">
              <w:rPr>
                <w:sz w:val="20"/>
                <w:szCs w:val="20"/>
              </w:rPr>
              <w:t xml:space="preserve">аукціон) </w:t>
            </w:r>
            <w:r w:rsidRPr="00380DFF">
              <w:rPr>
                <w:sz w:val="20"/>
                <w:szCs w:val="20"/>
              </w:rPr>
              <w:t xml:space="preserve">– </w:t>
            </w:r>
            <w:r w:rsidR="00380DFF" w:rsidRPr="00380DFF">
              <w:rPr>
                <w:sz w:val="20"/>
                <w:szCs w:val="20"/>
              </w:rPr>
              <w:t>05</w:t>
            </w:r>
            <w:r w:rsidR="00014652" w:rsidRPr="00380DFF">
              <w:rPr>
                <w:sz w:val="20"/>
                <w:szCs w:val="20"/>
              </w:rPr>
              <w:t>.10</w:t>
            </w:r>
            <w:r w:rsidR="000378A6" w:rsidRPr="00380DFF">
              <w:rPr>
                <w:sz w:val="20"/>
                <w:szCs w:val="20"/>
              </w:rPr>
              <w:t>.2017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4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380DFF">
              <w:rPr>
                <w:sz w:val="20"/>
                <w:szCs w:val="20"/>
              </w:rPr>
              <w:t>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380DFF" w:rsidRDefault="000378A6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8A7180" w:rsidRPr="00875EFA" w:rsidRDefault="008A7180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</w:t>
            </w:r>
            <w:r w:rsidR="00713226" w:rsidRPr="00875EFA">
              <w:rPr>
                <w:sz w:val="20"/>
                <w:szCs w:val="20"/>
              </w:rPr>
              <w:t>аук</w:t>
            </w:r>
            <w:r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</w:rPr>
              <w:t>14</w:t>
            </w:r>
            <w:r w:rsidRPr="00875EFA">
              <w:rPr>
                <w:sz w:val="20"/>
                <w:szCs w:val="20"/>
              </w:rPr>
              <w:t>.08.2017 до 20:00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20:00</w:t>
            </w:r>
          </w:p>
          <w:p w:rsidR="008A7180" w:rsidRPr="00A00155" w:rsidRDefault="008A7180" w:rsidP="008A718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lastRenderedPageBreak/>
              <w:t>Треті відкриті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</w:rPr>
              <w:t>18</w:t>
            </w:r>
            <w:r w:rsidRPr="00A00155">
              <w:rPr>
                <w:b/>
                <w:sz w:val="20"/>
                <w:szCs w:val="20"/>
              </w:rPr>
              <w:t>.09.2017 до 20:00</w:t>
            </w:r>
          </w:p>
          <w:p w:rsidR="00715FA9" w:rsidRPr="00380DFF" w:rsidRDefault="00D94E2F" w:rsidP="008A7180">
            <w:pPr>
              <w:rPr>
                <w:sz w:val="20"/>
                <w:szCs w:val="20"/>
                <w:lang w:val="ru-RU"/>
              </w:rPr>
            </w:pPr>
            <w:r w:rsidRPr="00380DFF">
              <w:rPr>
                <w:sz w:val="20"/>
                <w:szCs w:val="20"/>
              </w:rPr>
              <w:t xml:space="preserve">Четверті відкриті </w:t>
            </w:r>
            <w:r w:rsidR="008A7180" w:rsidRPr="00380DFF">
              <w:rPr>
                <w:sz w:val="20"/>
                <w:szCs w:val="20"/>
              </w:rPr>
              <w:t>торги (</w:t>
            </w:r>
            <w:r w:rsidRPr="00380DFF">
              <w:rPr>
                <w:sz w:val="20"/>
                <w:szCs w:val="20"/>
              </w:rPr>
              <w:t xml:space="preserve">аукціон) </w:t>
            </w:r>
            <w:r w:rsidR="008A7180" w:rsidRPr="00380DFF">
              <w:rPr>
                <w:sz w:val="20"/>
                <w:szCs w:val="20"/>
              </w:rPr>
              <w:t xml:space="preserve">– </w:t>
            </w:r>
            <w:r w:rsidR="00380DFF">
              <w:rPr>
                <w:sz w:val="20"/>
                <w:szCs w:val="20"/>
                <w:lang w:val="ru-RU"/>
              </w:rPr>
              <w:t>0</w:t>
            </w:r>
            <w:r w:rsidR="00380DFF" w:rsidRPr="00380DFF">
              <w:rPr>
                <w:sz w:val="20"/>
                <w:szCs w:val="20"/>
                <w:lang w:val="ru-RU"/>
              </w:rPr>
              <w:t>4</w:t>
            </w:r>
            <w:r w:rsidR="00014652" w:rsidRPr="00380DFF">
              <w:rPr>
                <w:sz w:val="20"/>
                <w:szCs w:val="20"/>
              </w:rPr>
              <w:t>.</w:t>
            </w:r>
            <w:r w:rsidR="00014652" w:rsidRPr="00380DFF">
              <w:rPr>
                <w:sz w:val="20"/>
                <w:szCs w:val="20"/>
                <w:lang w:val="ru-RU"/>
              </w:rPr>
              <w:t>10</w:t>
            </w:r>
            <w:r w:rsidR="008A7180" w:rsidRPr="00380DFF">
              <w:rPr>
                <w:sz w:val="20"/>
                <w:szCs w:val="20"/>
              </w:rPr>
              <w:t>.2017 до 20:00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A805F6" w:rsidP="005E4D7C">
            <w:pPr>
              <w:rPr>
                <w:sz w:val="20"/>
                <w:szCs w:val="20"/>
              </w:rPr>
            </w:pPr>
            <w:hyperlink r:id="rId25" w:history="1">
              <w:r w:rsidR="008A7180" w:rsidRPr="00380DFF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8A7180" w:rsidRPr="00875EFA" w:rsidRDefault="00D94E2F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8A7180"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  <w:lang w:val="ru-RU"/>
              </w:rPr>
              <w:t>14</w:t>
            </w:r>
            <w:r w:rsidR="008A7180" w:rsidRPr="00875EFA">
              <w:rPr>
                <w:sz w:val="20"/>
                <w:szCs w:val="20"/>
              </w:rPr>
              <w:t>.08.2017 до 19:00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19:00</w:t>
            </w:r>
          </w:p>
          <w:p w:rsidR="008A7180" w:rsidRPr="00A00155" w:rsidRDefault="008A7180" w:rsidP="008A718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Треті відкриті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  <w:lang w:val="ru-RU"/>
              </w:rPr>
              <w:t>18</w:t>
            </w:r>
            <w:r w:rsidRPr="00A00155">
              <w:rPr>
                <w:b/>
                <w:sz w:val="20"/>
                <w:szCs w:val="20"/>
              </w:rPr>
              <w:t>.09.2017 до 19:00</w:t>
            </w:r>
          </w:p>
          <w:p w:rsidR="008A7180" w:rsidRPr="00380DFF" w:rsidRDefault="008A7180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Четверті відкриті   торги (</w:t>
            </w:r>
            <w:r w:rsidR="00D94E2F" w:rsidRPr="00380DFF">
              <w:rPr>
                <w:sz w:val="20"/>
                <w:szCs w:val="20"/>
              </w:rPr>
              <w:t xml:space="preserve">аукціон) </w:t>
            </w:r>
            <w:r w:rsidRPr="00380DFF">
              <w:rPr>
                <w:sz w:val="20"/>
                <w:szCs w:val="20"/>
              </w:rPr>
              <w:t xml:space="preserve">– </w:t>
            </w:r>
            <w:r w:rsidR="00380DFF">
              <w:rPr>
                <w:sz w:val="20"/>
                <w:szCs w:val="20"/>
                <w:lang w:val="ru-RU"/>
              </w:rPr>
              <w:t>0</w:t>
            </w:r>
            <w:r w:rsidR="00380DFF" w:rsidRPr="00380DFF">
              <w:rPr>
                <w:sz w:val="20"/>
                <w:szCs w:val="20"/>
                <w:lang w:val="ru-RU"/>
              </w:rPr>
              <w:t>4</w:t>
            </w:r>
            <w:r w:rsidR="00014652" w:rsidRPr="00380DFF">
              <w:rPr>
                <w:sz w:val="20"/>
                <w:szCs w:val="20"/>
              </w:rPr>
              <w:t>.</w:t>
            </w:r>
            <w:r w:rsidR="00014652" w:rsidRPr="00380DFF">
              <w:rPr>
                <w:sz w:val="20"/>
                <w:szCs w:val="20"/>
                <w:lang w:val="ru-RU"/>
              </w:rPr>
              <w:t>10</w:t>
            </w:r>
            <w:r w:rsidRPr="00380DFF">
              <w:rPr>
                <w:sz w:val="20"/>
                <w:szCs w:val="20"/>
              </w:rPr>
              <w:t>.2017 до 19:00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380DFF" w:rsidTr="0033224E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380DFF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80DFF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380DFF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380DFF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380DFF" w:rsidRDefault="0076208D" w:rsidP="005E4D7C">
      <w:pPr>
        <w:rPr>
          <w:sz w:val="20"/>
          <w:szCs w:val="20"/>
        </w:rPr>
      </w:pPr>
    </w:p>
    <w:sectPr w:rsidR="0076208D" w:rsidRPr="00380DFF" w:rsidSect="00F9263B">
      <w:headerReference w:type="defaul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9D" w:rsidRDefault="00BA349D">
      <w:r>
        <w:separator/>
      </w:r>
    </w:p>
  </w:endnote>
  <w:endnote w:type="continuationSeparator" w:id="0">
    <w:p w:rsidR="00BA349D" w:rsidRDefault="00B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9D" w:rsidRDefault="00BA349D">
      <w:r>
        <w:separator/>
      </w:r>
    </w:p>
  </w:footnote>
  <w:footnote w:type="continuationSeparator" w:id="0">
    <w:p w:rsidR="00BA349D" w:rsidRDefault="00BA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4C3BC9" w:rsidRDefault="004B449B" w:rsidP="00B607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5F6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14652"/>
    <w:rsid w:val="00027E9D"/>
    <w:rsid w:val="000378A6"/>
    <w:rsid w:val="00043D1E"/>
    <w:rsid w:val="00082398"/>
    <w:rsid w:val="000949F8"/>
    <w:rsid w:val="00113812"/>
    <w:rsid w:val="00137EF8"/>
    <w:rsid w:val="001421E0"/>
    <w:rsid w:val="00147BA0"/>
    <w:rsid w:val="00174B35"/>
    <w:rsid w:val="00192513"/>
    <w:rsid w:val="001B3E1F"/>
    <w:rsid w:val="001C05EF"/>
    <w:rsid w:val="001D79E0"/>
    <w:rsid w:val="001E4572"/>
    <w:rsid w:val="00220DA7"/>
    <w:rsid w:val="00245A34"/>
    <w:rsid w:val="00253D25"/>
    <w:rsid w:val="0027447B"/>
    <w:rsid w:val="00282492"/>
    <w:rsid w:val="00307245"/>
    <w:rsid w:val="003220BB"/>
    <w:rsid w:val="0033224E"/>
    <w:rsid w:val="003634C9"/>
    <w:rsid w:val="00380DFF"/>
    <w:rsid w:val="003829EB"/>
    <w:rsid w:val="003856CE"/>
    <w:rsid w:val="003858D9"/>
    <w:rsid w:val="003A3B9E"/>
    <w:rsid w:val="003A6132"/>
    <w:rsid w:val="003B5468"/>
    <w:rsid w:val="003F294D"/>
    <w:rsid w:val="0040162A"/>
    <w:rsid w:val="00420212"/>
    <w:rsid w:val="00422C7A"/>
    <w:rsid w:val="00423BFD"/>
    <w:rsid w:val="00444B14"/>
    <w:rsid w:val="00453443"/>
    <w:rsid w:val="004A5452"/>
    <w:rsid w:val="004B449B"/>
    <w:rsid w:val="004F30F1"/>
    <w:rsid w:val="005109D3"/>
    <w:rsid w:val="005123C2"/>
    <w:rsid w:val="00527143"/>
    <w:rsid w:val="00595A9E"/>
    <w:rsid w:val="005C0203"/>
    <w:rsid w:val="005C4516"/>
    <w:rsid w:val="005E4D7C"/>
    <w:rsid w:val="005E5984"/>
    <w:rsid w:val="005F1AB8"/>
    <w:rsid w:val="00615895"/>
    <w:rsid w:val="006C2C52"/>
    <w:rsid w:val="006E194F"/>
    <w:rsid w:val="0070144B"/>
    <w:rsid w:val="007024A1"/>
    <w:rsid w:val="00713226"/>
    <w:rsid w:val="00715FA9"/>
    <w:rsid w:val="0071675D"/>
    <w:rsid w:val="0072009D"/>
    <w:rsid w:val="00731D6E"/>
    <w:rsid w:val="00760A63"/>
    <w:rsid w:val="0076208D"/>
    <w:rsid w:val="00780EB2"/>
    <w:rsid w:val="00781B93"/>
    <w:rsid w:val="00782552"/>
    <w:rsid w:val="007C07BE"/>
    <w:rsid w:val="007C44F8"/>
    <w:rsid w:val="007F4A1E"/>
    <w:rsid w:val="00811774"/>
    <w:rsid w:val="0081388E"/>
    <w:rsid w:val="008278A2"/>
    <w:rsid w:val="00846F31"/>
    <w:rsid w:val="008730B3"/>
    <w:rsid w:val="00875EFA"/>
    <w:rsid w:val="00892461"/>
    <w:rsid w:val="008A7180"/>
    <w:rsid w:val="008B2020"/>
    <w:rsid w:val="008D00C8"/>
    <w:rsid w:val="008F16EF"/>
    <w:rsid w:val="00917715"/>
    <w:rsid w:val="00941B65"/>
    <w:rsid w:val="00962B73"/>
    <w:rsid w:val="009A74AA"/>
    <w:rsid w:val="009F002D"/>
    <w:rsid w:val="00A00155"/>
    <w:rsid w:val="00A00A20"/>
    <w:rsid w:val="00A13ECB"/>
    <w:rsid w:val="00A17A6C"/>
    <w:rsid w:val="00A23C69"/>
    <w:rsid w:val="00A37707"/>
    <w:rsid w:val="00A43750"/>
    <w:rsid w:val="00A805F6"/>
    <w:rsid w:val="00A863F2"/>
    <w:rsid w:val="00AD2835"/>
    <w:rsid w:val="00AF16C5"/>
    <w:rsid w:val="00B459AA"/>
    <w:rsid w:val="00B45FAC"/>
    <w:rsid w:val="00B50F46"/>
    <w:rsid w:val="00B60703"/>
    <w:rsid w:val="00B76EC2"/>
    <w:rsid w:val="00B975EA"/>
    <w:rsid w:val="00BA349D"/>
    <w:rsid w:val="00BA7657"/>
    <w:rsid w:val="00BC41D0"/>
    <w:rsid w:val="00BD3410"/>
    <w:rsid w:val="00BD678C"/>
    <w:rsid w:val="00BD6C53"/>
    <w:rsid w:val="00BE7511"/>
    <w:rsid w:val="00C00FC3"/>
    <w:rsid w:val="00C07041"/>
    <w:rsid w:val="00C12306"/>
    <w:rsid w:val="00C262F5"/>
    <w:rsid w:val="00C5161A"/>
    <w:rsid w:val="00C61B84"/>
    <w:rsid w:val="00CD4F3E"/>
    <w:rsid w:val="00CE6F19"/>
    <w:rsid w:val="00D33732"/>
    <w:rsid w:val="00D60115"/>
    <w:rsid w:val="00D63746"/>
    <w:rsid w:val="00D65756"/>
    <w:rsid w:val="00D7663A"/>
    <w:rsid w:val="00D81F02"/>
    <w:rsid w:val="00D94E2F"/>
    <w:rsid w:val="00E123C9"/>
    <w:rsid w:val="00E232CF"/>
    <w:rsid w:val="00E24C81"/>
    <w:rsid w:val="00E47524"/>
    <w:rsid w:val="00E500A7"/>
    <w:rsid w:val="00E6348C"/>
    <w:rsid w:val="00E6749C"/>
    <w:rsid w:val="00E7344B"/>
    <w:rsid w:val="00E867B9"/>
    <w:rsid w:val="00F3313F"/>
    <w:rsid w:val="00F5543D"/>
    <w:rsid w:val="00F6448D"/>
    <w:rsid w:val="00F67C9F"/>
    <w:rsid w:val="00F762A2"/>
    <w:rsid w:val="00F9263B"/>
    <w:rsid w:val="00FA5B63"/>
    <w:rsid w:val="00FB3819"/>
    <w:rsid w:val="00FD7776"/>
    <w:rsid w:val="00FF1AEA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488" TargetMode="External"/><Relationship Id="rId13" Type="http://schemas.openxmlformats.org/officeDocument/2006/relationships/hyperlink" Target="http://torgi.fg.gov.ua:80/114833" TargetMode="External"/><Relationship Id="rId18" Type="http://schemas.openxmlformats.org/officeDocument/2006/relationships/hyperlink" Target="https://www.ea.newtend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n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6658" TargetMode="External"/><Relationship Id="rId17" Type="http://schemas.openxmlformats.org/officeDocument/2006/relationships/hyperlink" Target="http://torgi.fg.gov.ua/114522" TargetMode="External"/><Relationship Id="rId25" Type="http://schemas.openxmlformats.org/officeDocument/2006/relationships/hyperlink" Target="http://www.prozorro.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4807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6657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4835" TargetMode="External"/><Relationship Id="rId23" Type="http://schemas.openxmlformats.org/officeDocument/2006/relationships/hyperlink" Target="mailto:info@deltabank.com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26656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6649" TargetMode="External"/><Relationship Id="rId14" Type="http://schemas.openxmlformats.org/officeDocument/2006/relationships/hyperlink" Target="http://torgi.fg.gov.ua:80/114834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09D0-D309-4CA1-8A70-9D4EC97A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90</cp:revision>
  <cp:lastPrinted>2017-07-19T13:37:00Z</cp:lastPrinted>
  <dcterms:created xsi:type="dcterms:W3CDTF">2017-05-17T11:11:00Z</dcterms:created>
  <dcterms:modified xsi:type="dcterms:W3CDTF">2017-09-01T12:59:00Z</dcterms:modified>
</cp:coreProperties>
</file>