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36" w:rsidRPr="001378BD" w:rsidRDefault="00A66836" w:rsidP="00A66836">
      <w:pPr>
        <w:jc w:val="center"/>
        <w:rPr>
          <w:b/>
          <w:sz w:val="22"/>
          <w:szCs w:val="22"/>
        </w:rPr>
      </w:pPr>
      <w:r w:rsidRPr="001378BD">
        <w:rPr>
          <w:b/>
          <w:sz w:val="22"/>
          <w:szCs w:val="22"/>
        </w:rPr>
        <w:t>ПАСПОРТ ВІДКРИТИХ ТОРГІВ (АУКЦІОНУ)</w:t>
      </w:r>
    </w:p>
    <w:p w:rsidR="00A66836" w:rsidRPr="001378BD" w:rsidRDefault="00A66836" w:rsidP="00A66836">
      <w:pPr>
        <w:jc w:val="center"/>
        <w:rPr>
          <w:b/>
          <w:sz w:val="22"/>
          <w:szCs w:val="22"/>
        </w:rPr>
      </w:pPr>
      <w:r w:rsidRPr="001378BD">
        <w:rPr>
          <w:b/>
          <w:sz w:val="22"/>
          <w:szCs w:val="22"/>
        </w:rPr>
        <w:t xml:space="preserve">з продажу прав вимоги </w:t>
      </w:r>
      <w:r w:rsidR="00B67927" w:rsidRPr="001378BD">
        <w:rPr>
          <w:b/>
          <w:sz w:val="22"/>
          <w:szCs w:val="22"/>
        </w:rPr>
        <w:t>ПАТ «МІСЬКИЙ КОМЕРЦІЙНИЙ БАНК»</w:t>
      </w:r>
    </w:p>
    <w:p w:rsidR="001378BD" w:rsidRPr="001378BD" w:rsidRDefault="001378BD" w:rsidP="00546500">
      <w:pPr>
        <w:ind w:firstLine="708"/>
        <w:jc w:val="both"/>
        <w:rPr>
          <w:sz w:val="22"/>
          <w:szCs w:val="22"/>
        </w:rPr>
      </w:pPr>
    </w:p>
    <w:p w:rsidR="00E10AD8" w:rsidRDefault="00A66836" w:rsidP="00546500">
      <w:pPr>
        <w:ind w:firstLine="708"/>
        <w:jc w:val="both"/>
        <w:rPr>
          <w:sz w:val="22"/>
          <w:szCs w:val="22"/>
        </w:rPr>
      </w:pPr>
      <w:r w:rsidRPr="001378BD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B67927" w:rsidRPr="001378BD">
        <w:rPr>
          <w:sz w:val="22"/>
          <w:szCs w:val="22"/>
        </w:rPr>
        <w:t>ПАТ «МІСЬКИЙ КОМЕРЦІЙНИЙ БАНК»</w:t>
      </w:r>
      <w:r w:rsidRPr="001378BD">
        <w:rPr>
          <w:sz w:val="22"/>
          <w:szCs w:val="22"/>
        </w:rPr>
        <w:t>:</w:t>
      </w:r>
    </w:p>
    <w:p w:rsidR="001378BD" w:rsidRPr="001378BD" w:rsidRDefault="001378BD" w:rsidP="00546500">
      <w:pPr>
        <w:ind w:firstLine="708"/>
        <w:jc w:val="both"/>
        <w:rPr>
          <w:sz w:val="22"/>
          <w:szCs w:val="22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5"/>
        <w:gridCol w:w="4618"/>
        <w:gridCol w:w="1997"/>
        <w:gridCol w:w="1377"/>
        <w:gridCol w:w="1862"/>
      </w:tblGrid>
      <w:tr w:rsidR="00E52B04" w:rsidRPr="001378BD" w:rsidTr="001378BD">
        <w:trPr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4" w:rsidRPr="001378BD" w:rsidRDefault="00E52B04" w:rsidP="00E52B04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E52B04" w:rsidRPr="001378BD" w:rsidRDefault="00E52B04" w:rsidP="00E52B04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4" w:rsidRPr="001378BD" w:rsidRDefault="00E52B04" w:rsidP="00E52B04">
            <w:pPr>
              <w:spacing w:line="254" w:lineRule="auto"/>
              <w:jc w:val="center"/>
              <w:rPr>
                <w:sz w:val="18"/>
                <w:szCs w:val="18"/>
                <w:lang w:val="ru-RU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4" w:rsidRPr="001378BD" w:rsidRDefault="00E52B04" w:rsidP="00E52B04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4" w:rsidRPr="001378BD" w:rsidRDefault="00E52B04" w:rsidP="00E52B04">
            <w:pPr>
              <w:spacing w:line="254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1378BD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83C5E" w:rsidRPr="001378BD" w:rsidTr="00783C5E">
        <w:trPr>
          <w:trHeight w:val="1145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C5E" w:rsidRPr="001378BD" w:rsidRDefault="00783C5E" w:rsidP="004B5407">
            <w:pPr>
              <w:jc w:val="center"/>
              <w:rPr>
                <w:sz w:val="18"/>
                <w:szCs w:val="18"/>
                <w:lang w:val="en-US"/>
              </w:rPr>
            </w:pPr>
            <w:r w:rsidRPr="001378BD">
              <w:rPr>
                <w:sz w:val="18"/>
                <w:szCs w:val="18"/>
                <w:lang w:val="en-US"/>
              </w:rPr>
              <w:t>Q81948b15496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5E" w:rsidRPr="001378BD" w:rsidRDefault="00783C5E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 № 99/980-ЮО від 06.06.2007 р. укладеним з юридичною особою.</w:t>
            </w:r>
          </w:p>
          <w:p w:rsidR="00783C5E" w:rsidRPr="001378BD" w:rsidRDefault="00783C5E" w:rsidP="004B5407">
            <w:pPr>
              <w:spacing w:line="256" w:lineRule="auto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Забезпечення кредиту:</w:t>
            </w:r>
          </w:p>
          <w:p w:rsidR="00783C5E" w:rsidRPr="001378BD" w:rsidRDefault="00783C5E" w:rsidP="004B5407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1) Комерційна нерухомість: адміністративний будинок , </w:t>
            </w:r>
            <w:proofErr w:type="spellStart"/>
            <w:r w:rsidRPr="001378BD">
              <w:rPr>
                <w:sz w:val="18"/>
                <w:szCs w:val="18"/>
              </w:rPr>
              <w:t>заг.площа</w:t>
            </w:r>
            <w:proofErr w:type="spellEnd"/>
            <w:r w:rsidRPr="001378BD">
              <w:rPr>
                <w:sz w:val="18"/>
                <w:szCs w:val="18"/>
              </w:rPr>
              <w:t xml:space="preserve"> 613,3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. Адреса місця розташування: АР Крим, Красноперекопський район, с. </w:t>
            </w:r>
            <w:proofErr w:type="spellStart"/>
            <w:r w:rsidRPr="001378BD">
              <w:rPr>
                <w:sz w:val="18"/>
                <w:szCs w:val="18"/>
              </w:rPr>
              <w:t>Ішунь</w:t>
            </w:r>
            <w:proofErr w:type="spellEnd"/>
            <w:r w:rsidRPr="001378BD">
              <w:rPr>
                <w:sz w:val="18"/>
                <w:szCs w:val="18"/>
              </w:rPr>
              <w:t>, вул. Леніна.</w:t>
            </w:r>
          </w:p>
          <w:p w:rsidR="00783C5E" w:rsidRPr="001378BD" w:rsidRDefault="00783C5E" w:rsidP="004B5407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2) Комерційна нерухомість: будівельна частина </w:t>
            </w:r>
            <w:proofErr w:type="spellStart"/>
            <w:r w:rsidRPr="001378BD">
              <w:rPr>
                <w:sz w:val="18"/>
                <w:szCs w:val="18"/>
              </w:rPr>
              <w:t>заг</w:t>
            </w:r>
            <w:proofErr w:type="spellEnd"/>
            <w:r w:rsidRPr="001378BD">
              <w:rPr>
                <w:sz w:val="18"/>
                <w:szCs w:val="18"/>
              </w:rPr>
              <w:t xml:space="preserve">. площею 1877,4 </w:t>
            </w:r>
            <w:proofErr w:type="spellStart"/>
            <w:r w:rsidRPr="001378BD">
              <w:rPr>
                <w:sz w:val="18"/>
                <w:szCs w:val="18"/>
              </w:rPr>
              <w:t>м.кв</w:t>
            </w:r>
            <w:proofErr w:type="spellEnd"/>
            <w:r w:rsidRPr="001378BD">
              <w:rPr>
                <w:sz w:val="18"/>
                <w:szCs w:val="18"/>
              </w:rPr>
              <w:t xml:space="preserve">., прохідна 6,7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, побутове приміщення116,0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, склади 742,9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, столярна пилорама 87,0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., навіси. Адреса місця розташування: АР Крим, Красноперекопський район, с. </w:t>
            </w:r>
            <w:proofErr w:type="spellStart"/>
            <w:r w:rsidRPr="001378BD">
              <w:rPr>
                <w:sz w:val="18"/>
                <w:szCs w:val="18"/>
              </w:rPr>
              <w:t>Ішунь</w:t>
            </w:r>
            <w:proofErr w:type="spellEnd"/>
            <w:r w:rsidRPr="001378BD">
              <w:rPr>
                <w:sz w:val="18"/>
                <w:szCs w:val="18"/>
              </w:rPr>
              <w:t>, вул. Леніна.</w:t>
            </w:r>
          </w:p>
          <w:p w:rsidR="00783C5E" w:rsidRPr="001378BD" w:rsidRDefault="00783C5E" w:rsidP="004B5407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3) Комерційна нерухомість: будинок </w:t>
            </w:r>
            <w:proofErr w:type="spellStart"/>
            <w:r w:rsidRPr="001378BD">
              <w:rPr>
                <w:sz w:val="18"/>
                <w:szCs w:val="18"/>
              </w:rPr>
              <w:t>автогаражу</w:t>
            </w:r>
            <w:proofErr w:type="spellEnd"/>
            <w:r w:rsidRPr="001378BD">
              <w:rPr>
                <w:sz w:val="18"/>
                <w:szCs w:val="18"/>
              </w:rPr>
              <w:t xml:space="preserve">, гараж 140,6 кв. м, майстерня 219,8 кв. м, прохідна 12,5 кв. м, майстерня 672,6 кв. м., гараж 39,6 кв. м, </w:t>
            </w:r>
            <w:proofErr w:type="spellStart"/>
            <w:r w:rsidRPr="001378BD">
              <w:rPr>
                <w:sz w:val="18"/>
                <w:szCs w:val="18"/>
              </w:rPr>
              <w:t>уборна</w:t>
            </w:r>
            <w:proofErr w:type="spellEnd"/>
            <w:r w:rsidRPr="001378BD">
              <w:rPr>
                <w:sz w:val="18"/>
                <w:szCs w:val="18"/>
              </w:rPr>
              <w:t xml:space="preserve">, склад 108,7 кв. м, огорожа. Адреса місця розташування: АР Крим, Красноперекопський район, с. </w:t>
            </w:r>
            <w:proofErr w:type="spellStart"/>
            <w:r w:rsidRPr="001378BD">
              <w:rPr>
                <w:sz w:val="18"/>
                <w:szCs w:val="18"/>
              </w:rPr>
              <w:t>Ішунь</w:t>
            </w:r>
            <w:proofErr w:type="spellEnd"/>
            <w:r w:rsidRPr="001378BD">
              <w:rPr>
                <w:sz w:val="18"/>
                <w:szCs w:val="18"/>
              </w:rPr>
              <w:t>, вул. Леніна.</w:t>
            </w:r>
          </w:p>
          <w:p w:rsidR="00783C5E" w:rsidRPr="001378BD" w:rsidRDefault="00783C5E" w:rsidP="004B5407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4) Комерційна нерухомість: склад мінеральних добрив з насосною станцією загальною площею 2264,5 кв. м. Адреса місця розташування: АР Крим, Красноперекопський район, с. </w:t>
            </w:r>
            <w:proofErr w:type="spellStart"/>
            <w:r w:rsidRPr="001378BD">
              <w:rPr>
                <w:sz w:val="18"/>
                <w:szCs w:val="18"/>
              </w:rPr>
              <w:t>Ішунь</w:t>
            </w:r>
            <w:proofErr w:type="spellEnd"/>
            <w:r w:rsidRPr="001378BD">
              <w:rPr>
                <w:sz w:val="18"/>
                <w:szCs w:val="18"/>
              </w:rPr>
              <w:t>, вул. Леніна.</w:t>
            </w:r>
          </w:p>
          <w:p w:rsidR="00783C5E" w:rsidRPr="001378BD" w:rsidRDefault="00783C5E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sz w:val="18"/>
                <w:szCs w:val="18"/>
              </w:rPr>
              <w:t xml:space="preserve">5) Житлова нерухомість: квартира загальною площею 74,4 кв. м. Адреса місця розташування: АР Крим, м. Сімферополь, вул. Гоголя, /вул. </w:t>
            </w:r>
            <w:proofErr w:type="spellStart"/>
            <w:r w:rsidRPr="001378BD">
              <w:rPr>
                <w:sz w:val="18"/>
                <w:szCs w:val="18"/>
              </w:rPr>
              <w:t>Спера</w:t>
            </w:r>
            <w:proofErr w:type="spellEnd"/>
            <w:r w:rsidRPr="001378BD">
              <w:rPr>
                <w:sz w:val="18"/>
                <w:szCs w:val="18"/>
              </w:rPr>
              <w:t>, / вул. Павленко.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5E" w:rsidRPr="00783C5E" w:rsidRDefault="00783C5E" w:rsidP="004B5407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783C5E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27.09.2017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5E" w:rsidRPr="00783C5E" w:rsidRDefault="00783C5E" w:rsidP="004B5407">
            <w:pPr>
              <w:spacing w:line="254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783C5E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1 389 679,08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5E" w:rsidRPr="001378BD" w:rsidRDefault="0067562A" w:rsidP="004B5407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val="ru-RU" w:eastAsia="uk-UA"/>
              </w:rPr>
            </w:pPr>
            <w:hyperlink r:id="rId5" w:history="1">
              <w:r w:rsidR="00783C5E" w:rsidRPr="001378BD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http://torgi.fg.gov.ua/142995</w:t>
              </w:r>
            </w:hyperlink>
            <w:r w:rsidR="00783C5E" w:rsidRPr="001378BD">
              <w:rPr>
                <w:bCs/>
                <w:sz w:val="18"/>
                <w:szCs w:val="18"/>
                <w:u w:val="single"/>
                <w:bdr w:val="none" w:sz="0" w:space="0" w:color="auto" w:frame="1"/>
                <w:lang w:val="ru-RU" w:eastAsia="uk-UA"/>
              </w:rPr>
              <w:t xml:space="preserve"> </w:t>
            </w:r>
          </w:p>
        </w:tc>
      </w:tr>
      <w:tr w:rsidR="004B5407" w:rsidRPr="001378BD" w:rsidTr="001378BD">
        <w:trPr>
          <w:trHeight w:val="422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407" w:rsidRPr="001378BD" w:rsidRDefault="004B5407" w:rsidP="004B5407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11.10.2017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1 215 969,20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5407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п’ятих відкритих торгах (аукціоні) 25.10.2017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1 042 259,31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5407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шостих відкритих торгах (аукціоні) 08.11.2017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868 549,43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5407" w:rsidRPr="001378BD" w:rsidTr="001378BD">
        <w:trPr>
          <w:trHeight w:val="777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сьомих відкритих торгах (аукціоні) 22.11.2017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694 839,54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5407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 відкритих торгах (аукціоні) 06.12.2017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521 129,66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3C5E" w:rsidRPr="001378BD" w:rsidTr="00783C5E">
        <w:trPr>
          <w:trHeight w:val="678"/>
          <w:jc w:val="center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C5E" w:rsidRPr="001378BD" w:rsidRDefault="00783C5E" w:rsidP="004B5407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Q81948b15497</w:t>
            </w:r>
          </w:p>
        </w:tc>
        <w:tc>
          <w:tcPr>
            <w:tcW w:w="20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C5E" w:rsidRPr="001378BD" w:rsidRDefault="00783C5E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 № 394/840-ЮО від 11.12.2007 р.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,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укладеним з юридичною особою.</w:t>
            </w:r>
          </w:p>
          <w:p w:rsidR="00783C5E" w:rsidRPr="001378BD" w:rsidRDefault="00783C5E" w:rsidP="004B5407">
            <w:pPr>
              <w:spacing w:line="256" w:lineRule="auto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Забезпечення кредиту:</w:t>
            </w:r>
          </w:p>
          <w:p w:rsidR="00783C5E" w:rsidRPr="001378BD" w:rsidRDefault="00783C5E" w:rsidP="004B5407">
            <w:pPr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1)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Напівпричип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рефрижиратор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 KROMHAUT, 1995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р.в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., білого кольору.</w:t>
            </w:r>
          </w:p>
          <w:p w:rsidR="00783C5E" w:rsidRPr="001378BD" w:rsidRDefault="00783C5E" w:rsidP="004B5407">
            <w:pPr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2) Автомобіль марки VOLVO, модель FH 12, 1997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р.в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., білого кольору, вантажний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сідловий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 тягач.</w:t>
            </w:r>
          </w:p>
          <w:p w:rsidR="00783C5E" w:rsidRPr="001378BD" w:rsidRDefault="00783C5E" w:rsidP="004B5407">
            <w:pPr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3) Квартира загальною площею 115,10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  <w:p w:rsidR="00783C5E" w:rsidRPr="001378BD" w:rsidRDefault="00783C5E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Адреса місця розташування: м. Київ, вул. Саксаганського.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5E" w:rsidRPr="00783C5E" w:rsidRDefault="00783C5E" w:rsidP="00AE76B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783C5E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27.09.2017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5E" w:rsidRPr="00783C5E" w:rsidRDefault="00783C5E" w:rsidP="00AE76BB">
            <w:pPr>
              <w:spacing w:line="254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783C5E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10 442 293,10</w:t>
            </w:r>
          </w:p>
        </w:tc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C5E" w:rsidRPr="001378BD" w:rsidRDefault="0067562A" w:rsidP="004B5407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val="ru-RU" w:eastAsia="uk-UA"/>
              </w:rPr>
            </w:pPr>
            <w:hyperlink r:id="rId6" w:history="1">
              <w:r w:rsidR="00783C5E" w:rsidRPr="001378BD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http://torgi.fg.gov.ua/142997</w:t>
              </w:r>
            </w:hyperlink>
            <w:r w:rsidR="00783C5E" w:rsidRPr="001378BD">
              <w:rPr>
                <w:bCs/>
                <w:sz w:val="18"/>
                <w:szCs w:val="18"/>
                <w:u w:val="single"/>
                <w:bdr w:val="none" w:sz="0" w:space="0" w:color="auto" w:frame="1"/>
                <w:lang w:val="ru-RU" w:eastAsia="uk-UA"/>
              </w:rPr>
              <w:t xml:space="preserve"> </w:t>
            </w:r>
          </w:p>
        </w:tc>
      </w:tr>
      <w:tr w:rsidR="00AE76BB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11.10.2017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4936F4" w:rsidP="00AE76BB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9 137 006,47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E76BB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п’ятих відкритих торгах (аукціоні) 25.10.2017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4936F4" w:rsidP="00AE76BB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7 831 719,83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E76BB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шостих відкритих торгах (аукціоні) 08.11.2017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4936F4" w:rsidP="00AE76BB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6 526 433,19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E76BB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сьомих відкритих торгах (аукціоні) 22.11.2017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4936F4" w:rsidP="00AE76BB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5 221 146,55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E76BB" w:rsidRPr="001378BD" w:rsidTr="001378BD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 відкритих торгах (аукціоні) 06.12.2017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4936F4" w:rsidP="00AE76BB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3 915 859,91</w:t>
            </w: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E10AD8" w:rsidRDefault="00E10AD8" w:rsidP="00A66836">
      <w:pPr>
        <w:jc w:val="both"/>
        <w:rPr>
          <w:sz w:val="20"/>
          <w:szCs w:val="20"/>
        </w:rPr>
      </w:pPr>
    </w:p>
    <w:tbl>
      <w:tblPr>
        <w:tblW w:w="11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2"/>
        <w:gridCol w:w="6705"/>
      </w:tblGrid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917BF" w:rsidRPr="001378BD" w:rsidRDefault="003627AD" w:rsidP="003627AD">
            <w:pPr>
              <w:jc w:val="both"/>
              <w:rPr>
                <w:i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Рішення в</w:t>
            </w:r>
            <w:r w:rsidR="001917BF" w:rsidRPr="001378BD">
              <w:rPr>
                <w:sz w:val="18"/>
                <w:szCs w:val="18"/>
              </w:rPr>
              <w:t xml:space="preserve">иконавчої </w:t>
            </w:r>
            <w:r w:rsidRPr="001378BD">
              <w:rPr>
                <w:sz w:val="18"/>
                <w:szCs w:val="18"/>
              </w:rPr>
              <w:t>д</w:t>
            </w:r>
            <w:r w:rsidR="001917BF" w:rsidRPr="001378BD">
              <w:rPr>
                <w:sz w:val="18"/>
                <w:szCs w:val="18"/>
              </w:rPr>
              <w:t xml:space="preserve">ирекції ФГВФО № </w:t>
            </w:r>
            <w:r w:rsidRPr="001378BD">
              <w:rPr>
                <w:sz w:val="18"/>
                <w:szCs w:val="18"/>
              </w:rPr>
              <w:t>3381</w:t>
            </w:r>
            <w:r w:rsidR="001917BF" w:rsidRPr="001378BD">
              <w:rPr>
                <w:sz w:val="18"/>
                <w:szCs w:val="18"/>
              </w:rPr>
              <w:t xml:space="preserve"> від </w:t>
            </w:r>
            <w:r w:rsidRPr="001378BD">
              <w:rPr>
                <w:sz w:val="18"/>
                <w:szCs w:val="18"/>
              </w:rPr>
              <w:t>07.08</w:t>
            </w:r>
            <w:r w:rsidR="001917BF" w:rsidRPr="001378BD">
              <w:rPr>
                <w:sz w:val="18"/>
                <w:szCs w:val="18"/>
              </w:rPr>
              <w:t xml:space="preserve">.2017 р., № </w:t>
            </w:r>
            <w:r w:rsidRPr="001378BD">
              <w:rPr>
                <w:sz w:val="18"/>
                <w:szCs w:val="18"/>
              </w:rPr>
              <w:t>3403</w:t>
            </w:r>
            <w:r w:rsidR="001917BF" w:rsidRPr="001378BD">
              <w:rPr>
                <w:sz w:val="18"/>
                <w:szCs w:val="18"/>
              </w:rPr>
              <w:t xml:space="preserve"> від </w:t>
            </w:r>
            <w:r w:rsidRPr="001378BD">
              <w:rPr>
                <w:sz w:val="18"/>
                <w:szCs w:val="18"/>
              </w:rPr>
              <w:t>07.08</w:t>
            </w:r>
            <w:r w:rsidR="001917BF" w:rsidRPr="001378BD">
              <w:rPr>
                <w:sz w:val="18"/>
                <w:szCs w:val="18"/>
              </w:rPr>
              <w:t>.2017 р.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705" w:type="dxa"/>
            <w:shd w:val="clear" w:color="auto" w:fill="auto"/>
          </w:tcPr>
          <w:p w:rsidR="003627AD" w:rsidRPr="001378BD" w:rsidRDefault="003627AD" w:rsidP="003627AD">
            <w:pPr>
              <w:rPr>
                <w:bCs/>
                <w:sz w:val="18"/>
                <w:szCs w:val="18"/>
              </w:rPr>
            </w:pPr>
            <w:r w:rsidRPr="001378BD">
              <w:rPr>
                <w:b/>
                <w:color w:val="000000" w:themeColor="text1"/>
                <w:sz w:val="18"/>
                <w:szCs w:val="18"/>
              </w:rPr>
              <w:t>Товарна біржа «ПЕРША УНІВЕРСАЛЬНА БІРЖА «УКРАЇНА»</w:t>
            </w:r>
          </w:p>
          <w:p w:rsidR="003627AD" w:rsidRPr="001378BD" w:rsidRDefault="003627AD" w:rsidP="003627AD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01</w:t>
            </w:r>
            <w:r w:rsidRPr="001378BD">
              <w:rPr>
                <w:bCs/>
                <w:sz w:val="18"/>
                <w:szCs w:val="18"/>
                <w:lang w:val="ru-RU"/>
              </w:rPr>
              <w:t>033</w:t>
            </w:r>
            <w:r w:rsidRPr="001378BD">
              <w:rPr>
                <w:bCs/>
                <w:sz w:val="18"/>
                <w:szCs w:val="18"/>
              </w:rPr>
              <w:t xml:space="preserve">, м. Київ, вул. Гайдара, 50 </w:t>
            </w:r>
          </w:p>
          <w:p w:rsidR="003627AD" w:rsidRPr="001378BD" w:rsidRDefault="003627AD" w:rsidP="003627AD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Адреса </w:t>
            </w:r>
            <w:proofErr w:type="spellStart"/>
            <w:r w:rsidRPr="001378BD">
              <w:rPr>
                <w:i/>
                <w:iCs/>
                <w:sz w:val="18"/>
                <w:szCs w:val="18"/>
              </w:rPr>
              <w:t>веб-сайту</w:t>
            </w:r>
            <w:proofErr w:type="spellEnd"/>
            <w:r w:rsidRPr="001378BD">
              <w:rPr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1378BD">
                <w:rPr>
                  <w:rStyle w:val="a3"/>
                  <w:i/>
                  <w:iCs/>
                  <w:sz w:val="18"/>
                  <w:szCs w:val="18"/>
                </w:rPr>
                <w:t>https://torgi.birga-ukraine.com.ua/</w:t>
              </w:r>
            </w:hyperlink>
            <w:r w:rsidRPr="001378BD">
              <w:rPr>
                <w:i/>
                <w:iCs/>
                <w:sz w:val="18"/>
                <w:szCs w:val="18"/>
              </w:rPr>
              <w:t>, тел.</w:t>
            </w:r>
            <w:r w:rsidRPr="001378BD">
              <w:rPr>
                <w:sz w:val="18"/>
                <w:szCs w:val="18"/>
              </w:rPr>
              <w:t xml:space="preserve"> </w:t>
            </w:r>
            <w:r w:rsidRPr="001378BD">
              <w:rPr>
                <w:bCs/>
                <w:sz w:val="18"/>
                <w:szCs w:val="18"/>
              </w:rPr>
              <w:t>(094) 927 34 53</w:t>
            </w:r>
          </w:p>
          <w:p w:rsidR="003627AD" w:rsidRPr="001378BD" w:rsidRDefault="003627AD" w:rsidP="003627AD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працює щоденно крім вихідних та святкових днів з 09.00 год. до 18.00 год.</w:t>
            </w:r>
          </w:p>
          <w:p w:rsidR="001917BF" w:rsidRPr="001378BD" w:rsidRDefault="003627AD" w:rsidP="003627AD">
            <w:pPr>
              <w:jc w:val="both"/>
              <w:rPr>
                <w:sz w:val="18"/>
                <w:szCs w:val="18"/>
                <w:lang w:val="ru-RU"/>
              </w:rPr>
            </w:pPr>
            <w:r w:rsidRPr="001378BD">
              <w:rPr>
                <w:sz w:val="18"/>
                <w:szCs w:val="18"/>
              </w:rPr>
              <w:t>Посилання на перелік організаторів  відкритих торгів (аукціонів):</w:t>
            </w:r>
            <w:proofErr w:type="spellStart"/>
            <w:r w:rsidR="0067562A" w:rsidRPr="001378BD">
              <w:rPr>
                <w:sz w:val="18"/>
                <w:szCs w:val="18"/>
              </w:rPr>
              <w:fldChar w:fldCharType="begin"/>
            </w:r>
            <w:r w:rsidRPr="001378BD">
              <w:rPr>
                <w:sz w:val="18"/>
                <w:szCs w:val="18"/>
              </w:rPr>
              <w:instrText xml:space="preserve"> HYPERLINK "http://torgi.fg.gov.ua/prozorrosale" </w:instrText>
            </w:r>
            <w:r w:rsidR="0067562A" w:rsidRPr="001378BD">
              <w:rPr>
                <w:sz w:val="18"/>
                <w:szCs w:val="18"/>
              </w:rPr>
              <w:fldChar w:fldCharType="separate"/>
            </w:r>
            <w:r w:rsidRPr="001378BD">
              <w:rPr>
                <w:rStyle w:val="a3"/>
                <w:sz w:val="18"/>
                <w:szCs w:val="18"/>
              </w:rPr>
              <w:t>http</w:t>
            </w:r>
            <w:proofErr w:type="spellEnd"/>
            <w:r w:rsidRPr="001378BD">
              <w:rPr>
                <w:rStyle w:val="a3"/>
                <w:sz w:val="18"/>
                <w:szCs w:val="18"/>
              </w:rPr>
              <w:t>://</w:t>
            </w:r>
            <w:proofErr w:type="spellStart"/>
            <w:r w:rsidRPr="001378BD">
              <w:rPr>
                <w:rStyle w:val="a3"/>
                <w:sz w:val="18"/>
                <w:szCs w:val="18"/>
              </w:rPr>
              <w:t>torgi.fg.gov.ua</w:t>
            </w:r>
            <w:proofErr w:type="spellEnd"/>
            <w:r w:rsidRPr="001378BD">
              <w:rPr>
                <w:rStyle w:val="a3"/>
                <w:sz w:val="18"/>
                <w:szCs w:val="18"/>
              </w:rPr>
              <w:t>/</w:t>
            </w:r>
            <w:proofErr w:type="spellStart"/>
            <w:r w:rsidRPr="001378BD">
              <w:rPr>
                <w:rStyle w:val="a3"/>
                <w:sz w:val="18"/>
                <w:szCs w:val="18"/>
              </w:rPr>
              <w:t>prozorrosale</w:t>
            </w:r>
            <w:proofErr w:type="spellEnd"/>
            <w:r w:rsidR="0067562A" w:rsidRPr="001378BD">
              <w:rPr>
                <w:sz w:val="18"/>
                <w:szCs w:val="18"/>
              </w:rPr>
              <w:fldChar w:fldCharType="end"/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Учасники відкритих торгів (аукціону)</w:t>
            </w:r>
            <w:r w:rsidRPr="001378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bCs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i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5 %  від початкової ціни/початкової ціни реалізації лота, без врахування ПДВ.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Банківські реквізити для </w:t>
            </w:r>
            <w:r w:rsidRPr="001378BD">
              <w:rPr>
                <w:bCs/>
                <w:sz w:val="18"/>
                <w:szCs w:val="18"/>
              </w:rPr>
              <w:t xml:space="preserve">перерахування </w:t>
            </w:r>
            <w:r w:rsidRPr="001378BD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917BF" w:rsidRPr="001378BD" w:rsidRDefault="001917BF" w:rsidP="00644814">
            <w:pPr>
              <w:jc w:val="both"/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1378BD">
              <w:rPr>
                <w:bCs/>
                <w:sz w:val="18"/>
                <w:szCs w:val="18"/>
              </w:rPr>
              <w:t>відкритих торгів (аукціонів)</w:t>
            </w:r>
            <w:r w:rsidRPr="001378BD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1378BD">
              <w:rPr>
                <w:bCs/>
                <w:sz w:val="18"/>
                <w:szCs w:val="18"/>
              </w:rPr>
              <w:t>відкритих торгів (аукціонів)</w:t>
            </w:r>
            <w:r w:rsidRPr="001378BD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8" w:history="1">
              <w:r w:rsidRPr="001378BD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lastRenderedPageBreak/>
              <w:t>Крок аукціону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i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Крок аукціону – не менше 1 %  від початкової ціни/початкової ціни реалізації за окремим лотом.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917BF" w:rsidRPr="001378BD" w:rsidRDefault="001917BF" w:rsidP="00644814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1378BD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1378BD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1378BD">
              <w:rPr>
                <w:sz w:val="18"/>
                <w:szCs w:val="18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9" w:history="1">
              <w:r w:rsidRPr="001378BD">
                <w:rPr>
                  <w:sz w:val="18"/>
                  <w:szCs w:val="18"/>
                  <w:lang w:eastAsia="uk-UA"/>
                </w:rPr>
                <w:t>http://torgi.fg.gov.ua/nda</w:t>
              </w:r>
            </w:hyperlink>
            <w:r w:rsidRPr="001378BD">
              <w:rPr>
                <w:sz w:val="18"/>
                <w:szCs w:val="18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1917BF" w:rsidRPr="001378BD" w:rsidRDefault="001917BF" w:rsidP="00644814">
            <w:pPr>
              <w:jc w:val="both"/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1) </w:t>
            </w:r>
            <w:r w:rsidRPr="001378BD">
              <w:rPr>
                <w:sz w:val="18"/>
                <w:szCs w:val="18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1378BD">
              <w:rPr>
                <w:sz w:val="18"/>
                <w:szCs w:val="18"/>
              </w:rPr>
              <w:t>;</w:t>
            </w:r>
          </w:p>
          <w:p w:rsidR="001917BF" w:rsidRPr="001378BD" w:rsidRDefault="001917BF" w:rsidP="00644814">
            <w:pPr>
              <w:jc w:val="both"/>
              <w:rPr>
                <w:sz w:val="18"/>
                <w:szCs w:val="18"/>
                <w:highlight w:val="yellow"/>
                <w:shd w:val="clear" w:color="auto" w:fill="FFFFFF"/>
              </w:rPr>
            </w:pPr>
            <w:r w:rsidRPr="001378BD">
              <w:rPr>
                <w:sz w:val="18"/>
                <w:szCs w:val="18"/>
              </w:rPr>
              <w:t xml:space="preserve">2) </w:t>
            </w:r>
            <w:r w:rsidRPr="001378BD">
              <w:rPr>
                <w:sz w:val="18"/>
                <w:szCs w:val="18"/>
                <w:u w:val="single"/>
              </w:rPr>
              <w:t>ПАТ «МІСЬКИЙ КОМЕРЦІЙНИЙ БАНК»</w:t>
            </w:r>
            <w:r w:rsidRPr="001378BD">
              <w:rPr>
                <w:sz w:val="18"/>
                <w:szCs w:val="18"/>
              </w:rPr>
              <w:t xml:space="preserve">, 04073, м. Київ, просп. Степана Бандери (Московський), буд. 16, тел. (044) 536-92-11, 067-657-15-37, електронна пошта: </w:t>
            </w:r>
            <w:hyperlink r:id="rId10" w:history="1">
              <w:r w:rsidRPr="001378BD">
                <w:rPr>
                  <w:rStyle w:val="a3"/>
                  <w:color w:val="auto"/>
                  <w:sz w:val="18"/>
                  <w:szCs w:val="18"/>
                  <w:u w:val="none"/>
                </w:rPr>
                <w:t>info@egb.kiev.ua</w:t>
              </w:r>
            </w:hyperlink>
            <w:r w:rsidRPr="001378BD">
              <w:rPr>
                <w:rStyle w:val="a3"/>
                <w:color w:val="auto"/>
                <w:sz w:val="18"/>
                <w:szCs w:val="18"/>
                <w:u w:val="none"/>
              </w:rPr>
              <w:t xml:space="preserve">    </w:t>
            </w:r>
          </w:p>
        </w:tc>
      </w:tr>
      <w:tr w:rsidR="001917BF" w:rsidRPr="001378BD" w:rsidTr="001378BD">
        <w:trPr>
          <w:trHeight w:val="895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1378BD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1917BF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Ключинська Леся Володимирівна, </w:t>
            </w:r>
            <w:r w:rsidRPr="001378BD">
              <w:rPr>
                <w:sz w:val="18"/>
                <w:szCs w:val="18"/>
                <w:u w:val="single"/>
              </w:rPr>
              <w:t>ПАТ «МІСЬКИЙ КОМЕРЦІЙНИЙ БАНК»</w:t>
            </w:r>
            <w:r w:rsidRPr="001378BD">
              <w:rPr>
                <w:sz w:val="18"/>
                <w:szCs w:val="18"/>
              </w:rPr>
              <w:t xml:space="preserve">, 04073, м. Київ, просп. Степана Бандери (Московський), буд. 16, тел. (044) 536-92-11, 067-657-15-37,  електронна пошта: </w:t>
            </w:r>
            <w:hyperlink r:id="rId11" w:history="1">
              <w:r w:rsidRPr="001378BD">
                <w:rPr>
                  <w:rStyle w:val="a3"/>
                  <w:sz w:val="18"/>
                  <w:szCs w:val="18"/>
                </w:rPr>
                <w:t>klv@egb.kiev.ua</w:t>
              </w:r>
            </w:hyperlink>
            <w:r w:rsidRPr="001378BD">
              <w:rPr>
                <w:sz w:val="18"/>
                <w:szCs w:val="18"/>
              </w:rPr>
              <w:t xml:space="preserve"> </w:t>
            </w:r>
          </w:p>
          <w:p w:rsidR="001917BF" w:rsidRPr="001378BD" w:rsidRDefault="001917BF" w:rsidP="001917BF">
            <w:pPr>
              <w:jc w:val="both"/>
              <w:rPr>
                <w:sz w:val="18"/>
                <w:szCs w:val="18"/>
                <w:highlight w:val="yellow"/>
              </w:rPr>
            </w:pPr>
            <w:r w:rsidRPr="001378BD">
              <w:rPr>
                <w:sz w:val="18"/>
                <w:szCs w:val="18"/>
              </w:rPr>
              <w:t xml:space="preserve">Шестакова Ірина Юріївна, 04073, м. Київ, просп. Степана Бандери (Московський), буд. 16, тел. 067-463-89-17, електронна пошта: </w:t>
            </w:r>
            <w:hyperlink r:id="rId12" w:history="1">
              <w:r w:rsidRPr="001378BD">
                <w:rPr>
                  <w:rStyle w:val="a3"/>
                  <w:sz w:val="18"/>
                  <w:szCs w:val="18"/>
                </w:rPr>
                <w:t>Shestakova@egb.kiev.ua</w:t>
              </w:r>
            </w:hyperlink>
          </w:p>
        </w:tc>
      </w:tr>
      <w:tr w:rsidR="001917BF" w:rsidRPr="001378BD" w:rsidTr="001378BD">
        <w:trPr>
          <w:trHeight w:val="857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705" w:type="dxa"/>
            <w:shd w:val="clear" w:color="auto" w:fill="auto"/>
          </w:tcPr>
          <w:p w:rsidR="003627AD" w:rsidRPr="00783C5E" w:rsidRDefault="003627AD" w:rsidP="003627A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83C5E">
              <w:rPr>
                <w:b/>
                <w:bCs/>
                <w:i/>
                <w:sz w:val="18"/>
                <w:szCs w:val="18"/>
              </w:rPr>
              <w:t>Треті  відкриті   торги (</w:t>
            </w:r>
            <w:proofErr w:type="spellStart"/>
            <w:r w:rsidRPr="00783C5E">
              <w:rPr>
                <w:b/>
                <w:bCs/>
                <w:i/>
                <w:sz w:val="18"/>
                <w:szCs w:val="18"/>
              </w:rPr>
              <w:t>акуціон</w:t>
            </w:r>
            <w:proofErr w:type="spellEnd"/>
            <w:r w:rsidRPr="00783C5E">
              <w:rPr>
                <w:b/>
                <w:bCs/>
                <w:i/>
                <w:sz w:val="18"/>
                <w:szCs w:val="18"/>
              </w:rPr>
              <w:t xml:space="preserve">)       </w:t>
            </w:r>
            <w:r w:rsidRPr="00783C5E">
              <w:rPr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783C5E">
              <w:rPr>
                <w:b/>
                <w:bCs/>
                <w:i/>
                <w:sz w:val="18"/>
                <w:szCs w:val="18"/>
              </w:rPr>
              <w:t xml:space="preserve">– </w:t>
            </w:r>
            <w:r w:rsidR="00E10AD8" w:rsidRPr="00783C5E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="00AE76BB" w:rsidRPr="00783C5E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="00E10AD8" w:rsidRPr="00783C5E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.09</w:t>
            </w:r>
            <w:r w:rsidRPr="00783C5E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  <w:r w:rsidRPr="00783C5E">
              <w:rPr>
                <w:b/>
                <w:bCs/>
                <w:i/>
                <w:sz w:val="18"/>
                <w:szCs w:val="18"/>
                <w:lang w:val="ru-RU"/>
              </w:rPr>
              <w:t xml:space="preserve"> р.</w:t>
            </w:r>
          </w:p>
          <w:p w:rsidR="003627AD" w:rsidRPr="001378BD" w:rsidRDefault="003627AD" w:rsidP="003627AD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Четверті відкриті   торги (</w:t>
            </w:r>
            <w:proofErr w:type="spellStart"/>
            <w:r w:rsidRPr="001378BD">
              <w:rPr>
                <w:bCs/>
                <w:i/>
                <w:sz w:val="18"/>
                <w:szCs w:val="18"/>
              </w:rPr>
              <w:t>акуціон</w:t>
            </w:r>
            <w:proofErr w:type="spellEnd"/>
            <w:r w:rsidRPr="001378BD">
              <w:rPr>
                <w:bCs/>
                <w:i/>
                <w:sz w:val="18"/>
                <w:szCs w:val="18"/>
              </w:rPr>
              <w:t xml:space="preserve">) </w:t>
            </w:r>
            <w:r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1378BD">
              <w:rPr>
                <w:bCs/>
                <w:i/>
                <w:sz w:val="18"/>
                <w:szCs w:val="18"/>
              </w:rPr>
              <w:t xml:space="preserve">– </w:t>
            </w:r>
            <w:r w:rsidR="00AE76BB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11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.10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  <w:r w:rsidRPr="001378BD">
              <w:rPr>
                <w:bCs/>
                <w:i/>
                <w:sz w:val="18"/>
                <w:szCs w:val="18"/>
              </w:rPr>
              <w:t xml:space="preserve"> р.</w:t>
            </w:r>
          </w:p>
          <w:p w:rsidR="003627AD" w:rsidRPr="001378BD" w:rsidRDefault="003627AD" w:rsidP="003627AD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П’яті відкриті   торги (</w:t>
            </w:r>
            <w:proofErr w:type="spellStart"/>
            <w:r w:rsidRPr="001378BD">
              <w:rPr>
                <w:bCs/>
                <w:i/>
                <w:sz w:val="18"/>
                <w:szCs w:val="18"/>
              </w:rPr>
              <w:t>акуціон</w:t>
            </w:r>
            <w:proofErr w:type="spellEnd"/>
            <w:r w:rsidRPr="001378BD">
              <w:rPr>
                <w:bCs/>
                <w:i/>
                <w:sz w:val="18"/>
                <w:szCs w:val="18"/>
              </w:rPr>
              <w:t xml:space="preserve">)        – 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="00AE76BB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5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.10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  <w:r w:rsidRPr="001378BD">
              <w:rPr>
                <w:bCs/>
                <w:i/>
                <w:sz w:val="18"/>
                <w:szCs w:val="18"/>
              </w:rPr>
              <w:t xml:space="preserve"> р.</w:t>
            </w:r>
          </w:p>
          <w:p w:rsidR="003627AD" w:rsidRPr="001378BD" w:rsidRDefault="003627AD" w:rsidP="003627AD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Шості відкриті   торги (</w:t>
            </w:r>
            <w:proofErr w:type="spellStart"/>
            <w:r w:rsidRPr="001378BD">
              <w:rPr>
                <w:bCs/>
                <w:i/>
                <w:sz w:val="18"/>
                <w:szCs w:val="18"/>
              </w:rPr>
              <w:t>акуціон</w:t>
            </w:r>
            <w:proofErr w:type="spellEnd"/>
            <w:r w:rsidRPr="001378BD">
              <w:rPr>
                <w:bCs/>
                <w:i/>
                <w:sz w:val="18"/>
                <w:szCs w:val="18"/>
              </w:rPr>
              <w:t xml:space="preserve">)      – 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0</w:t>
            </w:r>
            <w:r w:rsidR="00AE76BB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8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.11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  <w:r w:rsidRPr="001378BD">
              <w:rPr>
                <w:bCs/>
                <w:i/>
                <w:sz w:val="18"/>
                <w:szCs w:val="18"/>
              </w:rPr>
              <w:t xml:space="preserve"> р.</w:t>
            </w:r>
          </w:p>
          <w:p w:rsidR="003627AD" w:rsidRPr="001378BD" w:rsidRDefault="003627AD" w:rsidP="003627AD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Сьомі відкриті   торги (</w:t>
            </w:r>
            <w:proofErr w:type="spellStart"/>
            <w:r w:rsidRPr="001378BD">
              <w:rPr>
                <w:bCs/>
                <w:i/>
                <w:sz w:val="18"/>
                <w:szCs w:val="18"/>
              </w:rPr>
              <w:t>акуціон</w:t>
            </w:r>
            <w:proofErr w:type="spellEnd"/>
            <w:r w:rsidRPr="001378BD">
              <w:rPr>
                <w:bCs/>
                <w:i/>
                <w:sz w:val="18"/>
                <w:szCs w:val="18"/>
              </w:rPr>
              <w:t xml:space="preserve">)        – </w:t>
            </w:r>
            <w:r w:rsidR="00AE76BB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22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.11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  <w:r w:rsidRPr="001378BD">
              <w:rPr>
                <w:bCs/>
                <w:i/>
                <w:sz w:val="18"/>
                <w:szCs w:val="18"/>
              </w:rPr>
              <w:t xml:space="preserve"> р.</w:t>
            </w:r>
          </w:p>
          <w:p w:rsidR="00E10AD8" w:rsidRPr="001378BD" w:rsidRDefault="003627AD" w:rsidP="001378B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Восьмі відкриті   торги (</w:t>
            </w:r>
            <w:proofErr w:type="spellStart"/>
            <w:r w:rsidRPr="001378BD">
              <w:rPr>
                <w:bCs/>
                <w:i/>
                <w:sz w:val="18"/>
                <w:szCs w:val="18"/>
              </w:rPr>
              <w:t>акуціон</w:t>
            </w:r>
            <w:proofErr w:type="spellEnd"/>
            <w:r w:rsidRPr="001378BD">
              <w:rPr>
                <w:bCs/>
                <w:i/>
                <w:sz w:val="18"/>
                <w:szCs w:val="18"/>
              </w:rPr>
              <w:t xml:space="preserve">)   </w:t>
            </w:r>
            <w:r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1378BD">
              <w:rPr>
                <w:bCs/>
                <w:i/>
                <w:sz w:val="18"/>
                <w:szCs w:val="18"/>
              </w:rPr>
              <w:t xml:space="preserve">  – 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0</w:t>
            </w:r>
            <w:r w:rsidR="00AE76BB"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.12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  <w:r w:rsidRPr="001378BD">
              <w:rPr>
                <w:bCs/>
                <w:i/>
                <w:sz w:val="18"/>
                <w:szCs w:val="18"/>
              </w:rPr>
              <w:t xml:space="preserve"> р.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1378BD">
              <w:rPr>
                <w:sz w:val="18"/>
                <w:szCs w:val="18"/>
              </w:rPr>
              <w:t xml:space="preserve">організаторів </w:t>
            </w:r>
            <w:r w:rsidRPr="001378BD">
              <w:rPr>
                <w:bCs/>
                <w:sz w:val="18"/>
                <w:szCs w:val="18"/>
              </w:rPr>
              <w:t>торгів (</w:t>
            </w:r>
            <w:hyperlink r:id="rId13" w:history="1">
              <w:r w:rsidRPr="001378BD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1378BD">
              <w:rPr>
                <w:sz w:val="18"/>
                <w:szCs w:val="18"/>
              </w:rPr>
              <w:t>)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917BF" w:rsidRPr="001378BD" w:rsidRDefault="001917BF" w:rsidP="00644814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Дата початку прийняття, кінцевий термін прийняття заяв</w:t>
            </w:r>
          </w:p>
          <w:p w:rsidR="003627AD" w:rsidRPr="00783C5E" w:rsidRDefault="003627AD" w:rsidP="003627A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83C5E">
              <w:rPr>
                <w:b/>
                <w:bCs/>
                <w:i/>
                <w:sz w:val="18"/>
                <w:szCs w:val="18"/>
              </w:rPr>
              <w:t>Треті  відкриті   торги (</w:t>
            </w:r>
            <w:proofErr w:type="spellStart"/>
            <w:r w:rsidRPr="00783C5E">
              <w:rPr>
                <w:b/>
                <w:bCs/>
                <w:i/>
                <w:sz w:val="18"/>
                <w:szCs w:val="18"/>
              </w:rPr>
              <w:t>акуціон</w:t>
            </w:r>
            <w:proofErr w:type="spellEnd"/>
            <w:r w:rsidRPr="00783C5E">
              <w:rPr>
                <w:b/>
                <w:bCs/>
                <w:i/>
                <w:sz w:val="18"/>
                <w:szCs w:val="18"/>
              </w:rPr>
              <w:t xml:space="preserve">)       </w:t>
            </w:r>
            <w:r w:rsidRPr="00783C5E">
              <w:rPr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E76BB" w:rsidRPr="00783C5E">
              <w:rPr>
                <w:b/>
                <w:bCs/>
                <w:i/>
                <w:sz w:val="18"/>
                <w:szCs w:val="18"/>
              </w:rPr>
              <w:t xml:space="preserve"> – 26</w:t>
            </w:r>
            <w:r w:rsidR="00E10AD8" w:rsidRPr="00783C5E">
              <w:rPr>
                <w:b/>
                <w:bCs/>
                <w:i/>
                <w:sz w:val="18"/>
                <w:szCs w:val="18"/>
              </w:rPr>
              <w:t>.09</w:t>
            </w:r>
            <w:r w:rsidRPr="00783C5E">
              <w:rPr>
                <w:b/>
                <w:bCs/>
                <w:i/>
                <w:sz w:val="18"/>
                <w:szCs w:val="18"/>
              </w:rPr>
              <w:t>.2017 р. до 20:00</w:t>
            </w:r>
          </w:p>
          <w:p w:rsidR="003627AD" w:rsidRPr="001378BD" w:rsidRDefault="003627AD" w:rsidP="003627AD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Четверті відкриті   торги (</w:t>
            </w:r>
            <w:proofErr w:type="spellStart"/>
            <w:r w:rsidRPr="001378BD">
              <w:rPr>
                <w:bCs/>
                <w:i/>
                <w:sz w:val="18"/>
                <w:szCs w:val="18"/>
              </w:rPr>
              <w:t>акуціон</w:t>
            </w:r>
            <w:proofErr w:type="spellEnd"/>
            <w:r w:rsidRPr="001378BD">
              <w:rPr>
                <w:bCs/>
                <w:i/>
                <w:sz w:val="18"/>
                <w:szCs w:val="18"/>
              </w:rPr>
              <w:t xml:space="preserve">)  </w:t>
            </w:r>
            <w:r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1378BD">
              <w:rPr>
                <w:bCs/>
                <w:i/>
                <w:sz w:val="18"/>
                <w:szCs w:val="18"/>
              </w:rPr>
              <w:t xml:space="preserve">– </w:t>
            </w:r>
            <w:r w:rsidR="00AE76BB" w:rsidRPr="001378BD">
              <w:rPr>
                <w:bCs/>
                <w:i/>
                <w:sz w:val="18"/>
                <w:szCs w:val="18"/>
              </w:rPr>
              <w:t>10</w:t>
            </w:r>
            <w:r w:rsidR="00E10AD8" w:rsidRPr="001378BD">
              <w:rPr>
                <w:bCs/>
                <w:i/>
                <w:sz w:val="18"/>
                <w:szCs w:val="18"/>
              </w:rPr>
              <w:t>.10</w:t>
            </w:r>
            <w:r w:rsidRPr="001378BD">
              <w:rPr>
                <w:bCs/>
                <w:i/>
                <w:sz w:val="18"/>
                <w:szCs w:val="18"/>
              </w:rPr>
              <w:t>.2017 р. до 20:00</w:t>
            </w:r>
          </w:p>
          <w:p w:rsidR="003627AD" w:rsidRPr="001378BD" w:rsidRDefault="003627AD" w:rsidP="003627AD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П’яті відкриті   торги (</w:t>
            </w:r>
            <w:proofErr w:type="spellStart"/>
            <w:r w:rsidRPr="001378BD">
              <w:rPr>
                <w:bCs/>
                <w:i/>
                <w:sz w:val="18"/>
                <w:szCs w:val="18"/>
              </w:rPr>
              <w:t>акуціон</w:t>
            </w:r>
            <w:proofErr w:type="spellEnd"/>
            <w:r w:rsidRPr="001378BD">
              <w:rPr>
                <w:bCs/>
                <w:i/>
                <w:sz w:val="18"/>
                <w:szCs w:val="18"/>
              </w:rPr>
              <w:t xml:space="preserve">)       </w:t>
            </w:r>
            <w:r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10AD8" w:rsidRPr="001378BD">
              <w:rPr>
                <w:bCs/>
                <w:i/>
                <w:sz w:val="18"/>
                <w:szCs w:val="18"/>
              </w:rPr>
              <w:t xml:space="preserve"> – 2</w:t>
            </w:r>
            <w:r w:rsidR="00AE76BB" w:rsidRPr="001378BD">
              <w:rPr>
                <w:bCs/>
                <w:i/>
                <w:sz w:val="18"/>
                <w:szCs w:val="18"/>
                <w:lang w:val="ru-RU"/>
              </w:rPr>
              <w:t>4</w:t>
            </w:r>
            <w:r w:rsidR="00E10AD8" w:rsidRPr="001378BD">
              <w:rPr>
                <w:bCs/>
                <w:i/>
                <w:sz w:val="18"/>
                <w:szCs w:val="18"/>
              </w:rPr>
              <w:t>.10</w:t>
            </w:r>
            <w:r w:rsidRPr="001378BD">
              <w:rPr>
                <w:bCs/>
                <w:i/>
                <w:sz w:val="18"/>
                <w:szCs w:val="18"/>
              </w:rPr>
              <w:t>.2017 р. до 20:00</w:t>
            </w:r>
          </w:p>
          <w:p w:rsidR="003627AD" w:rsidRPr="001378BD" w:rsidRDefault="003627AD" w:rsidP="003627AD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Шості відкриті   торги (</w:t>
            </w:r>
            <w:proofErr w:type="spellStart"/>
            <w:r w:rsidRPr="001378BD">
              <w:rPr>
                <w:bCs/>
                <w:i/>
                <w:sz w:val="18"/>
                <w:szCs w:val="18"/>
              </w:rPr>
              <w:t>акуціон</w:t>
            </w:r>
            <w:proofErr w:type="spellEnd"/>
            <w:r w:rsidRPr="001378BD">
              <w:rPr>
                <w:bCs/>
                <w:i/>
                <w:sz w:val="18"/>
                <w:szCs w:val="18"/>
              </w:rPr>
              <w:t xml:space="preserve">)      </w:t>
            </w:r>
            <w:r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10AD8" w:rsidRPr="001378BD">
              <w:rPr>
                <w:bCs/>
                <w:i/>
                <w:sz w:val="18"/>
                <w:szCs w:val="18"/>
              </w:rPr>
              <w:t>– 0</w:t>
            </w:r>
            <w:r w:rsidR="00AE76BB" w:rsidRPr="001378BD">
              <w:rPr>
                <w:bCs/>
                <w:i/>
                <w:sz w:val="18"/>
                <w:szCs w:val="18"/>
                <w:lang w:val="ru-RU"/>
              </w:rPr>
              <w:t>7</w:t>
            </w:r>
            <w:r w:rsidR="00E10AD8" w:rsidRPr="001378BD">
              <w:rPr>
                <w:bCs/>
                <w:i/>
                <w:sz w:val="18"/>
                <w:szCs w:val="18"/>
              </w:rPr>
              <w:t>.11</w:t>
            </w:r>
            <w:r w:rsidRPr="001378BD">
              <w:rPr>
                <w:bCs/>
                <w:i/>
                <w:sz w:val="18"/>
                <w:szCs w:val="18"/>
              </w:rPr>
              <w:t>.2017 р. до 20:00</w:t>
            </w:r>
          </w:p>
          <w:p w:rsidR="00E10AD8" w:rsidRPr="001378BD" w:rsidRDefault="003627AD" w:rsidP="003627AD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Сьомі відкриті   торги (</w:t>
            </w:r>
            <w:proofErr w:type="spellStart"/>
            <w:r w:rsidRPr="001378BD">
              <w:rPr>
                <w:bCs/>
                <w:i/>
                <w:sz w:val="18"/>
                <w:szCs w:val="18"/>
              </w:rPr>
              <w:t>акуціон</w:t>
            </w:r>
            <w:proofErr w:type="spellEnd"/>
            <w:r w:rsidRPr="001378BD">
              <w:rPr>
                <w:bCs/>
                <w:i/>
                <w:sz w:val="18"/>
                <w:szCs w:val="18"/>
              </w:rPr>
              <w:t xml:space="preserve">)       </w:t>
            </w:r>
            <w:r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E76BB" w:rsidRPr="001378BD">
              <w:rPr>
                <w:bCs/>
                <w:i/>
                <w:sz w:val="18"/>
                <w:szCs w:val="18"/>
              </w:rPr>
              <w:t xml:space="preserve"> – 21</w:t>
            </w:r>
            <w:r w:rsidR="00E10AD8" w:rsidRPr="001378BD">
              <w:rPr>
                <w:bCs/>
                <w:i/>
                <w:sz w:val="18"/>
                <w:szCs w:val="18"/>
              </w:rPr>
              <w:t>.11</w:t>
            </w:r>
            <w:r w:rsidRPr="001378BD">
              <w:rPr>
                <w:bCs/>
                <w:i/>
                <w:sz w:val="18"/>
                <w:szCs w:val="18"/>
              </w:rPr>
              <w:t>.2017 р. до 20:00</w:t>
            </w:r>
          </w:p>
          <w:p w:rsidR="00E10AD8" w:rsidRPr="001378BD" w:rsidRDefault="003627AD" w:rsidP="001378B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Восьмі відкриті   торги (</w:t>
            </w:r>
            <w:proofErr w:type="spellStart"/>
            <w:r w:rsidRPr="001378BD">
              <w:rPr>
                <w:bCs/>
                <w:i/>
                <w:sz w:val="18"/>
                <w:szCs w:val="18"/>
              </w:rPr>
              <w:t>акуціон</w:t>
            </w:r>
            <w:proofErr w:type="spellEnd"/>
            <w:r w:rsidRPr="001378BD">
              <w:rPr>
                <w:bCs/>
                <w:i/>
                <w:sz w:val="18"/>
                <w:szCs w:val="18"/>
              </w:rPr>
              <w:t xml:space="preserve">)      </w:t>
            </w:r>
            <w:r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1378BD">
              <w:rPr>
                <w:bCs/>
                <w:i/>
                <w:sz w:val="18"/>
                <w:szCs w:val="18"/>
              </w:rPr>
              <w:t xml:space="preserve">– </w:t>
            </w:r>
            <w:r w:rsidR="00E10AD8" w:rsidRPr="001378BD">
              <w:rPr>
                <w:bCs/>
                <w:i/>
                <w:sz w:val="18"/>
                <w:szCs w:val="18"/>
              </w:rPr>
              <w:t>0</w:t>
            </w:r>
            <w:r w:rsidR="00AE76BB" w:rsidRPr="001378BD">
              <w:rPr>
                <w:bCs/>
                <w:i/>
                <w:sz w:val="18"/>
                <w:szCs w:val="18"/>
                <w:lang w:val="ru-RU"/>
              </w:rPr>
              <w:t>5</w:t>
            </w:r>
            <w:r w:rsidR="00E10AD8" w:rsidRPr="001378BD">
              <w:rPr>
                <w:bCs/>
                <w:i/>
                <w:sz w:val="18"/>
                <w:szCs w:val="18"/>
              </w:rPr>
              <w:t>.12</w:t>
            </w:r>
            <w:r w:rsidRPr="001378BD">
              <w:rPr>
                <w:bCs/>
                <w:i/>
                <w:sz w:val="18"/>
                <w:szCs w:val="18"/>
              </w:rPr>
              <w:t>.2017 р. до 20:00</w:t>
            </w:r>
          </w:p>
        </w:tc>
      </w:tr>
      <w:tr w:rsidR="001917BF" w:rsidRPr="001378BD" w:rsidTr="001378BD">
        <w:trPr>
          <w:trHeight w:val="414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Електронна адреса для доступу до </w:t>
            </w:r>
            <w:r w:rsidRPr="001378BD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E10AD8" w:rsidRPr="001378BD" w:rsidRDefault="00E10AD8" w:rsidP="00644814">
            <w:pPr>
              <w:jc w:val="both"/>
              <w:rPr>
                <w:sz w:val="18"/>
                <w:szCs w:val="18"/>
              </w:rPr>
            </w:pPr>
          </w:p>
          <w:p w:rsidR="001917BF" w:rsidRPr="001378BD" w:rsidRDefault="0067562A" w:rsidP="00644814">
            <w:pPr>
              <w:jc w:val="both"/>
              <w:rPr>
                <w:bCs/>
                <w:sz w:val="18"/>
                <w:szCs w:val="18"/>
              </w:rPr>
            </w:pPr>
            <w:hyperlink r:id="rId14" w:history="1">
              <w:r w:rsidR="001917BF" w:rsidRPr="001378BD">
                <w:rPr>
                  <w:rStyle w:val="a3"/>
                  <w:bCs/>
                  <w:sz w:val="18"/>
                  <w:szCs w:val="18"/>
                  <w:lang w:val="en-US"/>
                </w:rPr>
                <w:t>www.</w:t>
              </w:r>
              <w:proofErr w:type="spellStart"/>
              <w:r w:rsidR="001917BF" w:rsidRPr="001378BD">
                <w:rPr>
                  <w:rStyle w:val="a3"/>
                  <w:bCs/>
                  <w:sz w:val="18"/>
                  <w:szCs w:val="18"/>
                </w:rPr>
                <w:t>prozorro.sale</w:t>
              </w:r>
              <w:proofErr w:type="spellEnd"/>
            </w:hyperlink>
            <w:r w:rsidR="001917BF" w:rsidRPr="001378BD">
              <w:rPr>
                <w:bCs/>
                <w:sz w:val="18"/>
                <w:szCs w:val="18"/>
              </w:rPr>
              <w:t xml:space="preserve"> </w:t>
            </w:r>
          </w:p>
          <w:p w:rsidR="00E10AD8" w:rsidRPr="001378BD" w:rsidRDefault="00E10AD8" w:rsidP="0064481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705" w:type="dxa"/>
            <w:shd w:val="clear" w:color="auto" w:fill="auto"/>
          </w:tcPr>
          <w:p w:rsidR="003627AD" w:rsidRPr="00783C5E" w:rsidRDefault="003627AD" w:rsidP="003627A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83C5E">
              <w:rPr>
                <w:b/>
                <w:bCs/>
                <w:i/>
                <w:sz w:val="18"/>
                <w:szCs w:val="18"/>
              </w:rPr>
              <w:t>Треті  відкриті   торги (</w:t>
            </w:r>
            <w:proofErr w:type="spellStart"/>
            <w:r w:rsidRPr="00783C5E">
              <w:rPr>
                <w:b/>
                <w:bCs/>
                <w:i/>
                <w:sz w:val="18"/>
                <w:szCs w:val="18"/>
              </w:rPr>
              <w:t>акуціон</w:t>
            </w:r>
            <w:proofErr w:type="spellEnd"/>
            <w:r w:rsidRPr="00783C5E">
              <w:rPr>
                <w:b/>
                <w:bCs/>
                <w:i/>
                <w:sz w:val="18"/>
                <w:szCs w:val="18"/>
              </w:rPr>
              <w:t xml:space="preserve">)     </w:t>
            </w:r>
            <w:r w:rsidRPr="00783C5E">
              <w:rPr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E76BB" w:rsidRPr="00783C5E">
              <w:rPr>
                <w:b/>
                <w:bCs/>
                <w:i/>
                <w:sz w:val="18"/>
                <w:szCs w:val="18"/>
              </w:rPr>
              <w:t xml:space="preserve">  – 26</w:t>
            </w:r>
            <w:r w:rsidR="00E10AD8" w:rsidRPr="00783C5E">
              <w:rPr>
                <w:b/>
                <w:bCs/>
                <w:i/>
                <w:sz w:val="18"/>
                <w:szCs w:val="18"/>
              </w:rPr>
              <w:t>.09</w:t>
            </w:r>
            <w:r w:rsidRPr="00783C5E">
              <w:rPr>
                <w:b/>
                <w:bCs/>
                <w:i/>
                <w:sz w:val="18"/>
                <w:szCs w:val="18"/>
              </w:rPr>
              <w:t>.2017  р. до 19:00</w:t>
            </w:r>
          </w:p>
          <w:p w:rsidR="003627AD" w:rsidRPr="001378BD" w:rsidRDefault="003627AD" w:rsidP="003627AD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Четверті відкриті   торги (</w:t>
            </w:r>
            <w:proofErr w:type="spellStart"/>
            <w:r w:rsidRPr="001378BD">
              <w:rPr>
                <w:bCs/>
                <w:i/>
                <w:sz w:val="18"/>
                <w:szCs w:val="18"/>
              </w:rPr>
              <w:t>акуціон</w:t>
            </w:r>
            <w:proofErr w:type="spellEnd"/>
            <w:r w:rsidRPr="001378BD">
              <w:rPr>
                <w:bCs/>
                <w:i/>
                <w:sz w:val="18"/>
                <w:szCs w:val="18"/>
              </w:rPr>
              <w:t>)</w:t>
            </w:r>
            <w:r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E76BB" w:rsidRPr="001378BD">
              <w:rPr>
                <w:bCs/>
                <w:i/>
                <w:sz w:val="18"/>
                <w:szCs w:val="18"/>
              </w:rPr>
              <w:t xml:space="preserve"> – 10</w:t>
            </w:r>
            <w:r w:rsidR="00E10AD8" w:rsidRPr="001378BD">
              <w:rPr>
                <w:bCs/>
                <w:i/>
                <w:sz w:val="18"/>
                <w:szCs w:val="18"/>
              </w:rPr>
              <w:t>.10</w:t>
            </w:r>
            <w:r w:rsidRPr="001378BD">
              <w:rPr>
                <w:bCs/>
                <w:i/>
                <w:sz w:val="18"/>
                <w:szCs w:val="18"/>
              </w:rPr>
              <w:t>.2017  р. до 19:00</w:t>
            </w:r>
          </w:p>
          <w:p w:rsidR="003627AD" w:rsidRPr="001378BD" w:rsidRDefault="003627AD" w:rsidP="003627AD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П’яті відкриті   торги (</w:t>
            </w:r>
            <w:proofErr w:type="spellStart"/>
            <w:r w:rsidRPr="001378BD">
              <w:rPr>
                <w:bCs/>
                <w:i/>
                <w:sz w:val="18"/>
                <w:szCs w:val="18"/>
              </w:rPr>
              <w:t>акуціон</w:t>
            </w:r>
            <w:proofErr w:type="spellEnd"/>
            <w:r w:rsidRPr="001378BD">
              <w:rPr>
                <w:bCs/>
                <w:i/>
                <w:sz w:val="18"/>
                <w:szCs w:val="18"/>
              </w:rPr>
              <w:t xml:space="preserve">)       </w:t>
            </w:r>
            <w:r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E76BB" w:rsidRPr="001378BD">
              <w:rPr>
                <w:bCs/>
                <w:i/>
                <w:sz w:val="18"/>
                <w:szCs w:val="18"/>
              </w:rPr>
              <w:t>– 24</w:t>
            </w:r>
            <w:r w:rsidR="00E10AD8" w:rsidRPr="001378BD">
              <w:rPr>
                <w:bCs/>
                <w:i/>
                <w:sz w:val="18"/>
                <w:szCs w:val="18"/>
              </w:rPr>
              <w:t>.10</w:t>
            </w:r>
            <w:r w:rsidRPr="001378BD">
              <w:rPr>
                <w:bCs/>
                <w:i/>
                <w:sz w:val="18"/>
                <w:szCs w:val="18"/>
              </w:rPr>
              <w:t>.2017 р. до 19:00</w:t>
            </w:r>
          </w:p>
          <w:p w:rsidR="003627AD" w:rsidRPr="001378BD" w:rsidRDefault="003627AD" w:rsidP="003627AD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Шості відкриті   торги (</w:t>
            </w:r>
            <w:proofErr w:type="spellStart"/>
            <w:r w:rsidRPr="001378BD">
              <w:rPr>
                <w:bCs/>
                <w:i/>
                <w:sz w:val="18"/>
                <w:szCs w:val="18"/>
              </w:rPr>
              <w:t>акуціон</w:t>
            </w:r>
            <w:proofErr w:type="spellEnd"/>
            <w:r w:rsidRPr="001378BD">
              <w:rPr>
                <w:bCs/>
                <w:i/>
                <w:sz w:val="18"/>
                <w:szCs w:val="18"/>
              </w:rPr>
              <w:t xml:space="preserve">)     </w:t>
            </w:r>
            <w:r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E76BB" w:rsidRPr="001378BD">
              <w:rPr>
                <w:bCs/>
                <w:i/>
                <w:sz w:val="18"/>
                <w:szCs w:val="18"/>
              </w:rPr>
              <w:t>– 07</w:t>
            </w:r>
            <w:r w:rsidR="00E10AD8" w:rsidRPr="001378BD">
              <w:rPr>
                <w:bCs/>
                <w:i/>
                <w:sz w:val="18"/>
                <w:szCs w:val="18"/>
              </w:rPr>
              <w:t>.11</w:t>
            </w:r>
            <w:r w:rsidRPr="001378BD">
              <w:rPr>
                <w:bCs/>
                <w:i/>
                <w:sz w:val="18"/>
                <w:szCs w:val="18"/>
              </w:rPr>
              <w:t>.2017 р. до 19:00</w:t>
            </w:r>
          </w:p>
          <w:p w:rsidR="003627AD" w:rsidRPr="001378BD" w:rsidRDefault="003627AD" w:rsidP="003627AD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Сьомі відкриті   торги (</w:t>
            </w:r>
            <w:proofErr w:type="spellStart"/>
            <w:r w:rsidRPr="001378BD">
              <w:rPr>
                <w:bCs/>
                <w:i/>
                <w:sz w:val="18"/>
                <w:szCs w:val="18"/>
              </w:rPr>
              <w:t>акуціон</w:t>
            </w:r>
            <w:proofErr w:type="spellEnd"/>
            <w:r w:rsidRPr="001378BD">
              <w:rPr>
                <w:bCs/>
                <w:i/>
                <w:sz w:val="18"/>
                <w:szCs w:val="18"/>
              </w:rPr>
              <w:t xml:space="preserve">)     </w:t>
            </w:r>
            <w:r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E76BB" w:rsidRPr="001378BD">
              <w:rPr>
                <w:bCs/>
                <w:i/>
                <w:sz w:val="18"/>
                <w:szCs w:val="18"/>
              </w:rPr>
              <w:t xml:space="preserve"> – 21</w:t>
            </w:r>
            <w:r w:rsidR="00E10AD8" w:rsidRPr="001378BD">
              <w:rPr>
                <w:bCs/>
                <w:i/>
                <w:sz w:val="18"/>
                <w:szCs w:val="18"/>
              </w:rPr>
              <w:t>.11</w:t>
            </w:r>
            <w:r w:rsidRPr="001378BD">
              <w:rPr>
                <w:bCs/>
                <w:i/>
                <w:sz w:val="18"/>
                <w:szCs w:val="18"/>
              </w:rPr>
              <w:t>.2017 р. до 19:00</w:t>
            </w:r>
          </w:p>
          <w:p w:rsidR="003627AD" w:rsidRPr="001378BD" w:rsidRDefault="003627AD" w:rsidP="003627AD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Восьмі відкриті   торги (</w:t>
            </w:r>
            <w:proofErr w:type="spellStart"/>
            <w:r w:rsidRPr="001378BD">
              <w:rPr>
                <w:bCs/>
                <w:i/>
                <w:sz w:val="18"/>
                <w:szCs w:val="18"/>
              </w:rPr>
              <w:t>акуціон</w:t>
            </w:r>
            <w:proofErr w:type="spellEnd"/>
            <w:r w:rsidRPr="001378BD">
              <w:rPr>
                <w:bCs/>
                <w:i/>
                <w:sz w:val="18"/>
                <w:szCs w:val="18"/>
              </w:rPr>
              <w:t xml:space="preserve">)     </w:t>
            </w:r>
            <w:r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10AD8" w:rsidRPr="001378BD">
              <w:rPr>
                <w:bCs/>
                <w:i/>
                <w:sz w:val="18"/>
                <w:szCs w:val="18"/>
              </w:rPr>
              <w:t xml:space="preserve">– </w:t>
            </w:r>
            <w:r w:rsidR="00AE76BB" w:rsidRPr="001378BD">
              <w:rPr>
                <w:bCs/>
                <w:i/>
                <w:sz w:val="18"/>
                <w:szCs w:val="18"/>
                <w:lang w:val="ru-RU"/>
              </w:rPr>
              <w:t>05</w:t>
            </w:r>
            <w:r w:rsidR="00E10AD8" w:rsidRPr="001378BD">
              <w:rPr>
                <w:bCs/>
                <w:i/>
                <w:sz w:val="18"/>
                <w:szCs w:val="18"/>
              </w:rPr>
              <w:t>.12</w:t>
            </w:r>
            <w:r w:rsidRPr="001378BD">
              <w:rPr>
                <w:bCs/>
                <w:i/>
                <w:sz w:val="18"/>
                <w:szCs w:val="18"/>
              </w:rPr>
              <w:t>.2017 р. до 19:00</w:t>
            </w:r>
          </w:p>
          <w:p w:rsidR="001917BF" w:rsidRPr="001378BD" w:rsidRDefault="001917BF" w:rsidP="00644814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1378BD">
              <w:rPr>
                <w:bCs/>
                <w:sz w:val="18"/>
                <w:szCs w:val="18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1917BF" w:rsidRPr="001378BD" w:rsidTr="00783C5E">
        <w:trPr>
          <w:trHeight w:val="1296"/>
          <w:jc w:val="center"/>
        </w:trPr>
        <w:tc>
          <w:tcPr>
            <w:tcW w:w="11167" w:type="dxa"/>
            <w:gridSpan w:val="2"/>
            <w:shd w:val="clear" w:color="auto" w:fill="auto"/>
            <w:vAlign w:val="center"/>
          </w:tcPr>
          <w:p w:rsidR="005C5A80" w:rsidRPr="001378BD" w:rsidRDefault="001917BF" w:rsidP="006448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1378BD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1917BF" w:rsidRPr="001378BD" w:rsidRDefault="00783C5E" w:rsidP="006448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Ч</w:t>
            </w:r>
            <w:r w:rsidR="001917BF"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1378BD" w:rsidRDefault="001378BD" w:rsidP="00D1774D">
      <w:pPr>
        <w:rPr>
          <w:b/>
          <w:sz w:val="22"/>
          <w:szCs w:val="22"/>
        </w:rPr>
      </w:pPr>
    </w:p>
    <w:p w:rsidR="00783C5E" w:rsidRDefault="00783C5E" w:rsidP="00D1774D">
      <w:pPr>
        <w:rPr>
          <w:b/>
          <w:sz w:val="22"/>
          <w:szCs w:val="22"/>
        </w:rPr>
      </w:pPr>
    </w:p>
    <w:p w:rsidR="001378BD" w:rsidRDefault="001378BD" w:rsidP="00D1774D">
      <w:pPr>
        <w:rPr>
          <w:b/>
          <w:sz w:val="22"/>
          <w:szCs w:val="22"/>
        </w:rPr>
      </w:pPr>
    </w:p>
    <w:p w:rsidR="001378BD" w:rsidRDefault="001378BD" w:rsidP="00D1774D">
      <w:pPr>
        <w:rPr>
          <w:b/>
          <w:sz w:val="22"/>
          <w:szCs w:val="22"/>
        </w:rPr>
      </w:pPr>
    </w:p>
    <w:p w:rsidR="00D1774D" w:rsidRPr="00F90254" w:rsidRDefault="00D1774D" w:rsidP="00D1774D">
      <w:pPr>
        <w:rPr>
          <w:b/>
          <w:sz w:val="22"/>
          <w:szCs w:val="22"/>
        </w:rPr>
      </w:pPr>
      <w:r w:rsidRPr="00F90254">
        <w:rPr>
          <w:b/>
          <w:sz w:val="22"/>
          <w:szCs w:val="22"/>
        </w:rPr>
        <w:t>Уповноважена особа ФГВФО на ліквідацію</w:t>
      </w:r>
    </w:p>
    <w:p w:rsidR="00D1774D" w:rsidRPr="00F90254" w:rsidRDefault="00D1774D" w:rsidP="00D1774D">
      <w:pPr>
        <w:rPr>
          <w:b/>
          <w:sz w:val="22"/>
          <w:szCs w:val="22"/>
        </w:rPr>
      </w:pPr>
      <w:r w:rsidRPr="00F90254">
        <w:rPr>
          <w:b/>
          <w:sz w:val="22"/>
          <w:szCs w:val="22"/>
        </w:rPr>
        <w:t>ПАТ «МІСЬКИЙ КОМЕРЦ</w:t>
      </w:r>
      <w:r>
        <w:rPr>
          <w:b/>
          <w:sz w:val="22"/>
          <w:szCs w:val="22"/>
        </w:rPr>
        <w:t>ІЙНИЙ БАНК»</w:t>
      </w:r>
      <w:r>
        <w:rPr>
          <w:b/>
          <w:sz w:val="22"/>
          <w:szCs w:val="22"/>
        </w:rPr>
        <w:tab/>
      </w:r>
      <w:r w:rsidRPr="00F90254">
        <w:rPr>
          <w:b/>
          <w:sz w:val="22"/>
          <w:szCs w:val="22"/>
        </w:rPr>
        <w:t xml:space="preserve"> ______________________ </w:t>
      </w:r>
      <w:r>
        <w:rPr>
          <w:b/>
          <w:sz w:val="22"/>
          <w:szCs w:val="22"/>
        </w:rPr>
        <w:t xml:space="preserve">  </w:t>
      </w:r>
      <w:r w:rsidRPr="00F90254">
        <w:rPr>
          <w:b/>
          <w:sz w:val="22"/>
          <w:szCs w:val="22"/>
        </w:rPr>
        <w:t xml:space="preserve">Р.А. </w:t>
      </w:r>
      <w:proofErr w:type="spellStart"/>
      <w:r w:rsidRPr="00F90254">
        <w:rPr>
          <w:b/>
          <w:sz w:val="22"/>
          <w:szCs w:val="22"/>
        </w:rPr>
        <w:t>Оберемко</w:t>
      </w:r>
      <w:proofErr w:type="spellEnd"/>
    </w:p>
    <w:p w:rsidR="00D1774D" w:rsidRPr="00711D97" w:rsidRDefault="00D1774D" w:rsidP="00D1774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</w:t>
      </w:r>
      <w:proofErr w:type="spellStart"/>
      <w:r w:rsidRPr="00711D97">
        <w:rPr>
          <w:b/>
          <w:bCs/>
          <w:color w:val="000000"/>
          <w:sz w:val="22"/>
          <w:szCs w:val="22"/>
        </w:rPr>
        <w:t>м.п</w:t>
      </w:r>
      <w:proofErr w:type="spellEnd"/>
      <w:r w:rsidRPr="00711D97">
        <w:rPr>
          <w:b/>
          <w:bCs/>
          <w:color w:val="000000"/>
          <w:sz w:val="22"/>
          <w:szCs w:val="22"/>
        </w:rPr>
        <w:t>.</w:t>
      </w:r>
    </w:p>
    <w:p w:rsidR="00D1774D" w:rsidRDefault="00D1774D">
      <w:bookmarkStart w:id="0" w:name="_GoBack"/>
      <w:bookmarkEnd w:id="0"/>
    </w:p>
    <w:sectPr w:rsidR="00D1774D" w:rsidSect="007F2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2830"/>
    <w:multiLevelType w:val="hybridMultilevel"/>
    <w:tmpl w:val="D982D09A"/>
    <w:lvl w:ilvl="0" w:tplc="54AE1F2A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836"/>
    <w:rsid w:val="0004001A"/>
    <w:rsid w:val="00083C5D"/>
    <w:rsid w:val="001378BD"/>
    <w:rsid w:val="00190186"/>
    <w:rsid w:val="001914F4"/>
    <w:rsid w:val="001917BF"/>
    <w:rsid w:val="001A1A36"/>
    <w:rsid w:val="001A7217"/>
    <w:rsid w:val="001B681A"/>
    <w:rsid w:val="001D62BB"/>
    <w:rsid w:val="002051AC"/>
    <w:rsid w:val="00270B63"/>
    <w:rsid w:val="00282CCD"/>
    <w:rsid w:val="00282DDD"/>
    <w:rsid w:val="003611E4"/>
    <w:rsid w:val="003627AD"/>
    <w:rsid w:val="00391745"/>
    <w:rsid w:val="00441F71"/>
    <w:rsid w:val="004936F4"/>
    <w:rsid w:val="004A7DB4"/>
    <w:rsid w:val="004B5407"/>
    <w:rsid w:val="004E0703"/>
    <w:rsid w:val="004E67F3"/>
    <w:rsid w:val="00546500"/>
    <w:rsid w:val="005C08FA"/>
    <w:rsid w:val="005C5A80"/>
    <w:rsid w:val="00620514"/>
    <w:rsid w:val="00637A96"/>
    <w:rsid w:val="00640B13"/>
    <w:rsid w:val="00647D8F"/>
    <w:rsid w:val="00671056"/>
    <w:rsid w:val="0067562A"/>
    <w:rsid w:val="00711D97"/>
    <w:rsid w:val="00783C5E"/>
    <w:rsid w:val="007F215C"/>
    <w:rsid w:val="00807F4E"/>
    <w:rsid w:val="0081519A"/>
    <w:rsid w:val="008175B2"/>
    <w:rsid w:val="00846BA9"/>
    <w:rsid w:val="009413C0"/>
    <w:rsid w:val="00961988"/>
    <w:rsid w:val="00964F4B"/>
    <w:rsid w:val="00A66836"/>
    <w:rsid w:val="00AB5E75"/>
    <w:rsid w:val="00AC0AF2"/>
    <w:rsid w:val="00AE76BB"/>
    <w:rsid w:val="00B27732"/>
    <w:rsid w:val="00B61625"/>
    <w:rsid w:val="00B67927"/>
    <w:rsid w:val="00B8633E"/>
    <w:rsid w:val="00C0503F"/>
    <w:rsid w:val="00C623EF"/>
    <w:rsid w:val="00C90447"/>
    <w:rsid w:val="00D1774D"/>
    <w:rsid w:val="00D27A71"/>
    <w:rsid w:val="00D565A5"/>
    <w:rsid w:val="00E10AD8"/>
    <w:rsid w:val="00E30C04"/>
    <w:rsid w:val="00E46D2C"/>
    <w:rsid w:val="00E52B04"/>
    <w:rsid w:val="00E854E4"/>
    <w:rsid w:val="00F16EF1"/>
    <w:rsid w:val="00F2616F"/>
    <w:rsid w:val="00F348B7"/>
    <w:rsid w:val="00F35E97"/>
    <w:rsid w:val="00F82FB9"/>
    <w:rsid w:val="00FB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836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A66836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A668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46B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6B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birga-ukraine.com.ua/" TargetMode="External"/><Relationship Id="rId12" Type="http://schemas.openxmlformats.org/officeDocument/2006/relationships/hyperlink" Target="mailto:Shestakova@egb.kie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142997" TargetMode="External"/><Relationship Id="rId11" Type="http://schemas.openxmlformats.org/officeDocument/2006/relationships/hyperlink" Target="mailto:klv@egb.kiev.ua" TargetMode="External"/><Relationship Id="rId5" Type="http://schemas.openxmlformats.org/officeDocument/2006/relationships/hyperlink" Target="http://torgi.fg.gov.ua/142995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egb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" TargetMode="External"/><Relationship Id="rId14" Type="http://schemas.openxmlformats.org/officeDocument/2006/relationships/hyperlink" Target="http://www.prozorro.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Черниш Марія Дмитрівна</dc:creator>
  <cp:lastModifiedBy>user</cp:lastModifiedBy>
  <cp:revision>2</cp:revision>
  <cp:lastPrinted>2017-09-13T11:35:00Z</cp:lastPrinted>
  <dcterms:created xsi:type="dcterms:W3CDTF">2017-09-18T12:03:00Z</dcterms:created>
  <dcterms:modified xsi:type="dcterms:W3CDTF">2017-09-18T12:03:00Z</dcterms:modified>
</cp:coreProperties>
</file>