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DB" w:rsidRDefault="00D60DDB" w:rsidP="00D60DDB">
      <w:bookmarkStart w:id="0" w:name="_GoBack"/>
      <w:bookmarkEnd w:id="0"/>
      <w:r>
        <w:t xml:space="preserve">ПАСПОРТ ВІДКРИТИХ ТОРГІВ (АУКЦІОНУ) з продажу активів (майна) ПАТ «КРЕДИТПРОМБАНК» </w:t>
      </w:r>
    </w:p>
    <w:p w:rsidR="00D60DDB" w:rsidRDefault="00D60DDB" w:rsidP="00D60DDB">
      <w:pPr>
        <w:jc w:val="center"/>
      </w:pPr>
      <w: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«КРЕДИТПРОМБАНК» </w:t>
      </w:r>
    </w:p>
    <w:p w:rsidR="00D60DDB" w:rsidRDefault="00D60DDB" w:rsidP="00D60DDB">
      <w: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8"/>
        <w:gridCol w:w="2720"/>
        <w:gridCol w:w="2053"/>
        <w:gridCol w:w="2079"/>
        <w:gridCol w:w="1475"/>
      </w:tblGrid>
      <w:tr w:rsidR="00D60DDB" w:rsidTr="00D60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Публічний паспорт активу (посилання)</w:t>
            </w:r>
          </w:p>
        </w:tc>
      </w:tr>
      <w:tr w:rsidR="00D60DDB" w:rsidTr="00D60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GL34N0422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 xml:space="preserve">Права члена Універсальної товарної біржі "Контрактовий Дім УМВБ" (пай у Статутному капіталі, що надає право на біржове місце-кількість біржових місць 1 (одне))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22.04.2019 - 500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jc w:val="center"/>
              <w:rPr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197355</w:t>
              </w:r>
            </w:hyperlink>
          </w:p>
        </w:tc>
      </w:tr>
    </w:tbl>
    <w:p w:rsidR="00D60DDB" w:rsidRDefault="00D60DDB" w:rsidP="00D60DDB"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4"/>
        <w:gridCol w:w="5831"/>
      </w:tblGrid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Номер та дата рішення Фонду про затвердження умов продажу активів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№ 646 від 25.03.2019 р.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Організатор відкритих торгів (аукціону)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ЄДИНИЙ КАБІНЕТ -       </w:t>
            </w:r>
          </w:p>
          <w:p w:rsidR="00D60DDB" w:rsidRDefault="00D60DDB">
            <w:pPr>
              <w:pStyle w:val="a4"/>
            </w:pPr>
            <w:r>
              <w:t>Посилання на перелік організаторів відкритих торгів (аукціонів):</w:t>
            </w:r>
            <w:hyperlink r:id="rId5" w:history="1">
              <w:r>
                <w:rPr>
                  <w:rStyle w:val="a3"/>
                </w:rPr>
                <w:t xml:space="preserve">http://torgi.fg.gov.ua/prozorrosale     </w:t>
              </w:r>
            </w:hyperlink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Учасники відкритих торгів (аукціону)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Юридичні особи та фізичні особи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Розмір гарантійного внеску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lastRenderedPageBreak/>
              <w:t xml:space="preserve">      </w:t>
            </w:r>
          </w:p>
          <w:p w:rsidR="00D60DDB" w:rsidRDefault="00D60DDB">
            <w:pPr>
              <w:pStyle w:val="a4"/>
            </w:pPr>
            <w:r>
              <w:t xml:space="preserve">5% (п`ять) відсотків від початкової ціни реалізації </w:t>
            </w:r>
            <w:r>
              <w:lastRenderedPageBreak/>
              <w:t>лотів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lastRenderedPageBreak/>
              <w:t xml:space="preserve">      </w:t>
            </w:r>
          </w:p>
          <w:p w:rsidR="00D60DDB" w:rsidRDefault="00D60DDB">
            <w:pPr>
              <w:pStyle w:val="a4"/>
            </w:pPr>
            <w:r>
              <w:t>Вимоги щодо кількості зареєстрованих учасників відкритих торгів (аукціону)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Відкриті торги (аукціон) не можуть вважатися такими, що відбулися, у разі відсутності ставки.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Банківські реквізити для перерахування гарантійного внеску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6" w:history="1">
              <w:r>
                <w:rPr>
                  <w:rStyle w:val="a3"/>
                </w:rPr>
                <w:t>http://torgi.fg.gov.ua/prozorrosale</w:t>
              </w:r>
            </w:hyperlink>
            <w:r>
              <w:t xml:space="preserve">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Крок аукціону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1% (один) відсоток від початкової ціни реалізації лотів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Порядок ознайомлення з активом у кімнаті даних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 xml:space="preserve">Ознайомитись з майном можна:        </w:t>
            </w:r>
          </w:p>
          <w:p w:rsidR="00D60DDB" w:rsidRDefault="00D60DDB">
            <w:pPr>
              <w:pStyle w:val="a4"/>
            </w:pPr>
            <w:r>
              <w:t xml:space="preserve">ПАТ «КРЕДИТПРОМБАНК» 04112, м. Київ, вул. Дегтярівська, буд. 48, електронна пошта: VLevitsky@kreditprombank.com [ mailto:VLevitsky@kreditprombank.com ] 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Контактна особа банку з питань ознайомлення з активом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pPr>
              <w:rPr>
                <w:sz w:val="24"/>
                <w:szCs w:val="24"/>
              </w:rPr>
            </w:pPr>
            <w:r>
              <w:t>Зайцев Олександр Сергійович, E-mail: AZaytsev@kreditprombank.com,т/ф +38(044) 490-27-79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Дата проведення відкритих торгів (аукціону)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lastRenderedPageBreak/>
              <w:t xml:space="preserve">      </w:t>
            </w:r>
          </w:p>
          <w:p w:rsidR="00D60DDB" w:rsidRDefault="00D60DDB">
            <w:pPr>
              <w:pStyle w:val="a4"/>
            </w:pPr>
            <w:r>
              <w:t>22.04.2019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lastRenderedPageBreak/>
              <w:t xml:space="preserve">      </w:t>
            </w:r>
          </w:p>
          <w:p w:rsidR="00D60DDB" w:rsidRDefault="00D60DDB">
            <w:pPr>
              <w:pStyle w:val="a4"/>
            </w:pPr>
            <w:r>
              <w:t>Час проведення відкритих торгів (аукціону)/електронного аукціону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 xml:space="preserve">Електронний аукціон розпочинається в проміжок часу з 9-30 год. до 10-00 год. </w:t>
            </w:r>
            <w: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br/>
              <w:t>Етап подання цінових пропозицій  - з 16-15 год. до 17-00 год. (загальна тривалість складає 15 хвилин) :</w:t>
            </w:r>
            <w: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Термін прийняття заяв про участь у відкритих торгах (аукціоні)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br/>
              <w:t xml:space="preserve">      </w:t>
            </w:r>
          </w:p>
          <w:p w:rsidR="00D60DDB" w:rsidRDefault="00D60DDB">
            <w:pPr>
              <w:pStyle w:val="a4"/>
            </w:pPr>
            <w:r>
              <w:t>Дата початку прийняття заяв – з дати публікації оголошення.</w:t>
            </w:r>
          </w:p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 xml:space="preserve">Кінцевий термін прийняття заяв: 22.04.2019  </w:t>
            </w:r>
            <w:r>
              <w:rPr>
                <w:b/>
                <w:bCs/>
              </w:rPr>
              <w:t>до 16:00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Електронна адреса для доступу до відкритих торгів (аукціону)/електронного аукціону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hyperlink r:id="rId7" w:history="1">
              <w:r>
                <w:rPr>
                  <w:rStyle w:val="a3"/>
                </w:rPr>
                <w:t>www.prozorro.sale</w:t>
              </w:r>
            </w:hyperlink>
            <w:r>
              <w:t xml:space="preserve">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Кінцева дата перерахування гарантійного внеску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  22.04.2019  </w:t>
            </w:r>
            <w:r>
              <w:rPr>
                <w:b/>
                <w:bCs/>
              </w:rPr>
              <w:t>до 16:00</w:t>
            </w:r>
          </w:p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lastRenderedPageBreak/>
              <w:t xml:space="preserve">      </w:t>
            </w:r>
          </w:p>
          <w:p w:rsidR="00D60DDB" w:rsidRDefault="00D60DDB">
            <w:pPr>
              <w:pStyle w:val="a4"/>
            </w:pPr>
            <w:r>
              <w:t>Розмір реєстраційного внеску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Реєстраційний внесок відсутній.</w:t>
            </w:r>
          </w:p>
          <w:p w:rsidR="00D60DDB" w:rsidRDefault="00D60DDB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D60DDB" w:rsidTr="00D60DDB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DDB" w:rsidRDefault="00D60DDB">
            <w:r>
              <w:t xml:space="preserve">      </w:t>
            </w:r>
          </w:p>
          <w:p w:rsidR="00D60DDB" w:rsidRDefault="00D60DDB">
            <w:pPr>
              <w:pStyle w:val="a4"/>
            </w:pPr>
            <w: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030DE" w:rsidRPr="00D60DDB" w:rsidRDefault="00D60DDB" w:rsidP="00D60DDB"/>
    <w:sectPr w:rsidR="00C030DE" w:rsidRPr="00D60DDB" w:rsidSect="004E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B78"/>
    <w:rsid w:val="000306E4"/>
    <w:rsid w:val="00082686"/>
    <w:rsid w:val="00244B78"/>
    <w:rsid w:val="004E384E"/>
    <w:rsid w:val="00885565"/>
    <w:rsid w:val="00CC352D"/>
    <w:rsid w:val="00D6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5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1973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Крутова</dc:creator>
  <cp:keywords/>
  <dc:description/>
  <cp:lastModifiedBy>Levytskyi</cp:lastModifiedBy>
  <cp:revision>4</cp:revision>
  <dcterms:created xsi:type="dcterms:W3CDTF">2019-03-06T07:22:00Z</dcterms:created>
  <dcterms:modified xsi:type="dcterms:W3CDTF">2019-03-28T12:00:00Z</dcterms:modified>
</cp:coreProperties>
</file>