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56" w:rsidRPr="008E5124" w:rsidRDefault="00FF7456" w:rsidP="00FF745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shd w:val="clear" w:color="auto" w:fill="FFFFFF"/>
        </w:rPr>
      </w:pPr>
    </w:p>
    <w:p w:rsidR="003342DD" w:rsidRPr="008E5124" w:rsidRDefault="003342DD" w:rsidP="003342DD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8E5124">
        <w:rPr>
          <w:rFonts w:ascii="Times New Roman" w:hAnsi="Times New Roman"/>
          <w:b/>
          <w:caps/>
          <w:sz w:val="20"/>
          <w:szCs w:val="20"/>
        </w:rPr>
        <w:t>ПАСПОРТ ВІДКРИТИХ ТОРГІВ (АУКЦІОНУ)</w:t>
      </w:r>
    </w:p>
    <w:p w:rsidR="003342DD" w:rsidRPr="008E5124" w:rsidRDefault="003342DD" w:rsidP="003342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5124">
        <w:rPr>
          <w:rFonts w:ascii="Times New Roman" w:hAnsi="Times New Roman"/>
          <w:b/>
          <w:sz w:val="20"/>
          <w:szCs w:val="20"/>
        </w:rPr>
        <w:t xml:space="preserve">з продажу майна </w:t>
      </w:r>
      <w:r w:rsidRPr="008E5124">
        <w:rPr>
          <w:rFonts w:ascii="Times New Roman" w:hAnsi="Times New Roman"/>
          <w:b/>
          <w:i/>
          <w:sz w:val="20"/>
          <w:szCs w:val="20"/>
          <w:u w:val="single"/>
        </w:rPr>
        <w:t>АТ «ДЕЛЬТА БАНК»</w:t>
      </w:r>
    </w:p>
    <w:p w:rsidR="003342DD" w:rsidRPr="008E5124" w:rsidRDefault="003342DD" w:rsidP="003342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2DD" w:rsidRPr="008E5124" w:rsidRDefault="003342DD" w:rsidP="003342D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E5124">
        <w:rPr>
          <w:rFonts w:ascii="Times New Roman" w:hAnsi="Times New Roman"/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АТ «Дельта Банк»:</w:t>
      </w:r>
    </w:p>
    <w:p w:rsidR="008A1726" w:rsidRPr="008E5124" w:rsidRDefault="008A1726" w:rsidP="00FF745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1385"/>
        <w:gridCol w:w="1700"/>
        <w:gridCol w:w="3120"/>
        <w:gridCol w:w="1842"/>
        <w:gridCol w:w="2409"/>
      </w:tblGrid>
      <w:tr w:rsidR="003906A6" w:rsidRPr="008E5124" w:rsidTr="00D4338E">
        <w:trPr>
          <w:trHeight w:val="123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E8" w:rsidRPr="008E5124" w:rsidRDefault="003F7EE8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1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лоту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8" w:rsidRPr="008E5124" w:rsidRDefault="003F7EE8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1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 майна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8" w:rsidRPr="008E5124" w:rsidRDefault="003F7EE8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E51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Стислий опис майна</w:t>
            </w:r>
            <w:r w:rsidR="00FE3B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******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8" w:rsidRPr="008E5124" w:rsidRDefault="003342DD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Початкова </w:t>
            </w:r>
            <w:proofErr w:type="spellStart"/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ціна</w:t>
            </w:r>
            <w:proofErr w:type="spellEnd"/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реалізації</w:t>
            </w:r>
            <w:proofErr w:type="spellEnd"/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лоту</w:t>
            </w:r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FA43C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затверджена</w:t>
            </w:r>
            <w:proofErr w:type="spellEnd"/>
            <w:r w:rsidR="00FA43C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Фондом, грн.,</w:t>
            </w:r>
            <w:r w:rsidR="00FA43C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br/>
              <w:t>(з</w:t>
            </w:r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/без ПДВ)*</w:t>
            </w:r>
            <w:r w:rsidR="003C526E" w:rsidRPr="008E512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***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8" w:rsidRPr="008E5124" w:rsidRDefault="003F7EE8" w:rsidP="000402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1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Публічний паспорт активу (посилання)</w:t>
            </w:r>
          </w:p>
        </w:tc>
      </w:tr>
      <w:tr w:rsidR="00116F02" w:rsidRPr="008E5124" w:rsidTr="00D4338E">
        <w:trPr>
          <w:trHeight w:hRule="exact" w:val="1494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ED13C7" w:rsidRDefault="00116F02" w:rsidP="009948A1">
            <w:pPr>
              <w:rPr>
                <w:rFonts w:ascii="Times New Roman" w:hAnsi="Times New Roman"/>
                <w:sz w:val="20"/>
                <w:szCs w:val="20"/>
              </w:rPr>
            </w:pPr>
            <w:r w:rsidRPr="00ED13C7">
              <w:rPr>
                <w:rFonts w:ascii="Times New Roman" w:hAnsi="Times New Roman"/>
                <w:sz w:val="20"/>
                <w:szCs w:val="20"/>
              </w:rPr>
              <w:t>Q82826b817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3506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Нерухомість (нежитлова)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Цех по переробці м'яса за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2BCE" w:rsidRPr="00AB2BCE" w:rsidRDefault="00AB2BCE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Житомирська обл., м. Бердичів,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вул</w:t>
            </w:r>
            <w:r w:rsidR="00AB2BCE">
              <w:rPr>
                <w:rFonts w:ascii="Times New Roman" w:hAnsi="Times New Roman"/>
                <w:sz w:val="20"/>
                <w:szCs w:val="20"/>
              </w:rPr>
              <w:t>. Залізнична,4 під літерою А-2,</w:t>
            </w:r>
          </w:p>
          <w:p w:rsidR="00116F02" w:rsidRPr="008E5124" w:rsidRDefault="00116F02" w:rsidP="003506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. 2926,8 кв. м. ( інв. номер </w:t>
            </w: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3081115)***</w:t>
            </w: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3 682 659,</w:t>
            </w:r>
            <w:r w:rsidR="0054168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E512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(з ПДВ)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4C1A32" w:rsidP="00350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116F02" w:rsidRPr="008E5124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http://torgi.fg.gov.ua:80/119834</w:t>
              </w:r>
            </w:hyperlink>
          </w:p>
        </w:tc>
      </w:tr>
      <w:tr w:rsidR="00116F02" w:rsidRPr="008E5124" w:rsidTr="00D4338E">
        <w:trPr>
          <w:trHeight w:val="2836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ED13C7" w:rsidRDefault="00116F02" w:rsidP="009948A1">
            <w:pPr>
              <w:rPr>
                <w:rFonts w:ascii="Times New Roman" w:hAnsi="Times New Roman"/>
                <w:sz w:val="20"/>
                <w:szCs w:val="20"/>
              </w:rPr>
            </w:pPr>
            <w:r w:rsidRPr="00ED13C7">
              <w:rPr>
                <w:rFonts w:ascii="Times New Roman" w:hAnsi="Times New Roman"/>
                <w:sz w:val="20"/>
                <w:szCs w:val="20"/>
              </w:rPr>
              <w:t>Q82826b818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Нежитлова нерухомість</w:t>
            </w:r>
          </w:p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Майновий комплекс АЗС за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 Київська обл.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м.Переяслав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-Хмельницький,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вул.Об’ізна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,13, а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саме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автозаправки, Б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125,7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прибудова</w:t>
            </w:r>
            <w:proofErr w:type="spellEnd"/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б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84,4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кафе-бару, В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137,4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прибудова</w:t>
            </w:r>
            <w:proofErr w:type="spellEnd"/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19,3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прибудова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в-2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12,4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генераторна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трансформаторна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), Г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12,7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.;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погрібне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Д, 52,1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.;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літня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площадка, З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86,3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.;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споруда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огорожа, 1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360,2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.;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споруда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огорожа, 2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117,6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.;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споруда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огорожа, 1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54,6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.;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споруда</w:t>
            </w:r>
            <w:proofErr w:type="spellEnd"/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площадка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літня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І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1113,7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.;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споруда</w:t>
            </w:r>
            <w:proofErr w:type="spellEnd"/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площадка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асфальтна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під</w:t>
            </w:r>
            <w:proofErr w:type="spellEnd"/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стоянку, ІІ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5286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.;</w:t>
            </w:r>
          </w:p>
          <w:p w:rsidR="00116F02" w:rsidRPr="008E5124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(інв №4019034)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6 233 841,00</w:t>
            </w:r>
          </w:p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(з ПДВ)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4C1A3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116F02" w:rsidRPr="008E5124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http://torgi.fg.gov.ua:80/120407</w:t>
              </w:r>
            </w:hyperlink>
          </w:p>
        </w:tc>
      </w:tr>
      <w:tr w:rsidR="00116F02" w:rsidRPr="008E5124" w:rsidTr="00D4338E">
        <w:trPr>
          <w:trHeight w:val="910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116F0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02" w:rsidRPr="008E5124" w:rsidRDefault="00116F02" w:rsidP="000402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Земельні ділянки </w:t>
            </w:r>
            <w:proofErr w:type="spellStart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. 1,2 га  кадастровий номер:</w:t>
            </w: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3211000000:01:048:0001; 3211000000:01:048:0003 за адресою: Київська обл. </w:t>
            </w:r>
            <w:proofErr w:type="spellStart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м.Переяслав</w:t>
            </w:r>
            <w:proofErr w:type="spellEnd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-Хмельницький, вул.Об’ізна,13 (</w:t>
            </w:r>
            <w:proofErr w:type="spellStart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інв</w:t>
            </w:r>
            <w:proofErr w:type="spellEnd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№4019034)</w:t>
            </w: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0402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116F0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F02" w:rsidRPr="008E5124" w:rsidTr="00D4338E">
        <w:trPr>
          <w:trHeight w:val="756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ED13C7" w:rsidRDefault="00116F02" w:rsidP="00994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Q82826b819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Житлова нерухомість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02" w:rsidRPr="008E5124" w:rsidRDefault="00116F02" w:rsidP="000402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Садовий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будинок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Київська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обл.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Обухівський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р-н, с.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Українка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садове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товариство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“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Луговий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”, буд. 532А,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заг.пл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415,40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(інв.№ 308023)</w:t>
            </w: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власній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земельній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ділянці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 *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3 927 236,40</w:t>
            </w:r>
          </w:p>
          <w:p w:rsidR="00116F02" w:rsidRPr="008E5124" w:rsidRDefault="007E1096" w:rsidP="007E10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116F02"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з ПДВ)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4C1A32" w:rsidP="009C6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116F02" w:rsidRPr="008E5124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http://torgi.fg.gov.ua:80/120408</w:t>
              </w:r>
            </w:hyperlink>
          </w:p>
        </w:tc>
      </w:tr>
      <w:tr w:rsidR="00116F02" w:rsidRPr="008E5124" w:rsidTr="00D4338E">
        <w:trPr>
          <w:trHeight w:val="526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116F0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за </w:t>
            </w:r>
            <w:proofErr w:type="spellStart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Київська обл. Обухівський р-н,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Українка, садове товариство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“Луговий” 3223151000:04:018:0056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площею 0,0990 га, для ведення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садівництва</w:t>
            </w:r>
          </w:p>
          <w:p w:rsidR="00116F02" w:rsidRPr="008E5124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(інв.№ 308023)</w:t>
            </w: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02" w:rsidRPr="008E5124" w:rsidRDefault="00116F02" w:rsidP="000402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116F0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F02" w:rsidRPr="008E5124" w:rsidTr="00D4338E">
        <w:trPr>
          <w:trHeight w:val="768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ED13C7" w:rsidRDefault="00116F02" w:rsidP="009948A1">
            <w:pPr>
              <w:rPr>
                <w:rFonts w:ascii="Times New Roman" w:hAnsi="Times New Roman"/>
                <w:sz w:val="20"/>
                <w:szCs w:val="20"/>
              </w:rPr>
            </w:pPr>
            <w:r w:rsidRPr="00ED13C7">
              <w:rPr>
                <w:rFonts w:ascii="Times New Roman" w:hAnsi="Times New Roman"/>
                <w:sz w:val="20"/>
                <w:szCs w:val="20"/>
              </w:rPr>
              <w:t>Q82826b820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Нежитлова</w:t>
            </w:r>
            <w:proofErr w:type="spellEnd"/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нерухомість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Будівля адміністративно-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складського корпусу та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виробничого цеху за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Київська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, Обухівський р-н,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м.Українка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>, вул. Промислова,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буд. 59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заг.пл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. 2309,0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16F02" w:rsidRPr="008E5124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(інв.№3081063)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4 630 825,89</w:t>
            </w:r>
          </w:p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(з ПДВ)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F02" w:rsidRPr="008E5124" w:rsidRDefault="004C1A3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116F02" w:rsidRPr="008E5124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http://torgi.fg.gov.ua:80/120405</w:t>
              </w:r>
            </w:hyperlink>
          </w:p>
        </w:tc>
      </w:tr>
      <w:tr w:rsidR="00116F02" w:rsidRPr="008E5124" w:rsidTr="00D4338E">
        <w:trPr>
          <w:trHeight w:val="528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ED13C7" w:rsidRDefault="00116F02" w:rsidP="009948A1">
            <w:pPr>
              <w:rPr>
                <w:rFonts w:ascii="Times New Roman" w:hAnsi="Times New Roman"/>
                <w:sz w:val="20"/>
                <w:szCs w:val="20"/>
              </w:rPr>
            </w:pPr>
            <w:r w:rsidRPr="00ED13C7">
              <w:rPr>
                <w:rFonts w:ascii="Times New Roman" w:hAnsi="Times New Roman"/>
                <w:sz w:val="20"/>
                <w:szCs w:val="20"/>
              </w:rPr>
              <w:t>Q82826b821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234E6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Житлова н</w:t>
            </w:r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ерухомість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Житлова квартира загальною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площею 71,0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. за адресою: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Чернівецька обл.,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м.Чернівці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вул.Героїв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 Майдану 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(Червоноармійська),буд.107 кв.172</w:t>
            </w:r>
          </w:p>
          <w:p w:rsidR="00116F02" w:rsidRPr="008E5124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(ін.№ 308050)  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784 530,00</w:t>
            </w:r>
          </w:p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(без ПДВ)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116F0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16F02" w:rsidRPr="008E5124" w:rsidRDefault="004C1A3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116F02" w:rsidRPr="008E5124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http://torgi.fg.gov.ua:80/121760</w:t>
              </w:r>
            </w:hyperlink>
          </w:p>
        </w:tc>
      </w:tr>
      <w:tr w:rsidR="00116F02" w:rsidRPr="008E5124" w:rsidTr="00D4338E">
        <w:trPr>
          <w:trHeight w:val="528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ED13C7" w:rsidRDefault="00116F02" w:rsidP="009948A1">
            <w:pPr>
              <w:rPr>
                <w:rFonts w:ascii="Times New Roman" w:hAnsi="Times New Roman"/>
                <w:sz w:val="20"/>
                <w:szCs w:val="20"/>
              </w:rPr>
            </w:pPr>
            <w:r w:rsidRPr="00ED13C7">
              <w:rPr>
                <w:rFonts w:ascii="Times New Roman" w:hAnsi="Times New Roman"/>
                <w:sz w:val="20"/>
                <w:szCs w:val="20"/>
              </w:rPr>
              <w:t>Q82826b822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Житлова н</w:t>
            </w:r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ерухомість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Житлова квартира загальною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площею  45,8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. за адресою: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Київська обл.,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м.Київ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вул. Братиславська,б.6 ,кв,100 </w:t>
            </w:r>
          </w:p>
          <w:p w:rsidR="00116F02" w:rsidRPr="008E5124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(ін.№ 308019) *****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752 310,00</w:t>
            </w:r>
          </w:p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(без ПДВ)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4C1A3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116F02" w:rsidRPr="008E5124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http://torgi.fg.gov.ua:80/121761</w:t>
              </w:r>
            </w:hyperlink>
          </w:p>
          <w:p w:rsidR="00116F02" w:rsidRPr="008E5124" w:rsidRDefault="00116F0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7EE8" w:rsidRPr="008E5124" w:rsidRDefault="003F7EE8" w:rsidP="00FF745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A1726" w:rsidRPr="008E5124" w:rsidRDefault="003C526E" w:rsidP="003C526E">
      <w:pPr>
        <w:pStyle w:val="aa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8E5124">
        <w:rPr>
          <w:rFonts w:ascii="Times New Roman" w:hAnsi="Times New Roman"/>
          <w:b/>
          <w:i/>
          <w:sz w:val="20"/>
          <w:szCs w:val="20"/>
        </w:rPr>
        <w:t>*</w:t>
      </w:r>
      <w:r w:rsidRPr="008E5124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 xml:space="preserve"> У Банку </w:t>
      </w:r>
      <w:proofErr w:type="spellStart"/>
      <w:r w:rsidRPr="008E5124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відстуня</w:t>
      </w:r>
      <w:proofErr w:type="spellEnd"/>
      <w:r w:rsidRPr="008E5124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8E5124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інформація</w:t>
      </w:r>
      <w:proofErr w:type="spellEnd"/>
      <w:r w:rsidRPr="008E5124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 xml:space="preserve"> про </w:t>
      </w:r>
      <w:proofErr w:type="spellStart"/>
      <w:r w:rsidRPr="008E5124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зареєстрованих</w:t>
      </w:r>
      <w:proofErr w:type="spellEnd"/>
      <w:r w:rsidRPr="008E5124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 xml:space="preserve"> у </w:t>
      </w:r>
      <w:proofErr w:type="spellStart"/>
      <w:r w:rsidRPr="008E5124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будинку</w:t>
      </w:r>
      <w:proofErr w:type="spellEnd"/>
      <w:r w:rsidRPr="008E5124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8E5124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осіб</w:t>
      </w:r>
      <w:proofErr w:type="spellEnd"/>
      <w:r w:rsidR="00FE3B27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.</w:t>
      </w:r>
    </w:p>
    <w:p w:rsidR="003C526E" w:rsidRPr="008E5124" w:rsidRDefault="003C526E" w:rsidP="003C526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ab/>
        <w:t xml:space="preserve">** </w:t>
      </w:r>
      <w:proofErr w:type="spellStart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>згідно</w:t>
      </w:r>
      <w:proofErr w:type="spellEnd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>інформації</w:t>
      </w:r>
      <w:proofErr w:type="spellEnd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 xml:space="preserve">, яка </w:t>
      </w:r>
      <w:proofErr w:type="spellStart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>наявна</w:t>
      </w:r>
      <w:proofErr w:type="spellEnd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 xml:space="preserve"> в Банку, в </w:t>
      </w:r>
      <w:proofErr w:type="spellStart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>квартирі</w:t>
      </w:r>
      <w:proofErr w:type="spellEnd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8E5124">
        <w:rPr>
          <w:rFonts w:ascii="Times New Roman" w:hAnsi="Times New Roman"/>
          <w:b/>
          <w:i/>
          <w:sz w:val="20"/>
          <w:szCs w:val="20"/>
        </w:rPr>
        <w:t>є зареєстровані неповнолітні особи.</w:t>
      </w:r>
    </w:p>
    <w:p w:rsidR="003C526E" w:rsidRPr="008E5124" w:rsidRDefault="003C526E" w:rsidP="003C526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8E5124">
        <w:rPr>
          <w:rFonts w:ascii="Times New Roman" w:hAnsi="Times New Roman"/>
          <w:b/>
          <w:i/>
          <w:sz w:val="20"/>
          <w:szCs w:val="20"/>
        </w:rPr>
        <w:tab/>
        <w:t xml:space="preserve">*** </w:t>
      </w:r>
      <w:r w:rsidR="00FE3B27">
        <w:rPr>
          <w:rFonts w:ascii="Times New Roman" w:hAnsi="Times New Roman"/>
          <w:b/>
          <w:i/>
          <w:sz w:val="20"/>
          <w:szCs w:val="20"/>
        </w:rPr>
        <w:t>на майна накладено арешт та заборона.</w:t>
      </w:r>
    </w:p>
    <w:p w:rsidR="003C526E" w:rsidRPr="008E5124" w:rsidRDefault="003C526E" w:rsidP="003C526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8E5124">
        <w:rPr>
          <w:rFonts w:ascii="Times New Roman" w:hAnsi="Times New Roman"/>
          <w:b/>
          <w:i/>
          <w:sz w:val="20"/>
          <w:szCs w:val="20"/>
        </w:rPr>
        <w:tab/>
        <w:t>**** ПДВ з урахуванням норм чинного законодавства України</w:t>
      </w:r>
      <w:r w:rsidR="00FE3B27">
        <w:rPr>
          <w:rFonts w:ascii="Times New Roman" w:hAnsi="Times New Roman"/>
          <w:b/>
          <w:i/>
          <w:sz w:val="20"/>
          <w:szCs w:val="20"/>
        </w:rPr>
        <w:t>.</w:t>
      </w:r>
    </w:p>
    <w:p w:rsidR="008751E6" w:rsidRDefault="008751E6" w:rsidP="003C526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8E5124">
        <w:rPr>
          <w:rFonts w:ascii="Times New Roman" w:hAnsi="Times New Roman"/>
          <w:b/>
          <w:i/>
          <w:sz w:val="20"/>
          <w:szCs w:val="20"/>
        </w:rPr>
        <w:tab/>
        <w:t xml:space="preserve">***** </w:t>
      </w:r>
      <w:proofErr w:type="spellStart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>згідно</w:t>
      </w:r>
      <w:proofErr w:type="spellEnd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>інформації</w:t>
      </w:r>
      <w:proofErr w:type="spellEnd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 xml:space="preserve">, яка </w:t>
      </w:r>
      <w:proofErr w:type="spellStart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>наявна</w:t>
      </w:r>
      <w:proofErr w:type="spellEnd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 xml:space="preserve"> в Банку, в </w:t>
      </w:r>
      <w:proofErr w:type="spellStart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>квартирі</w:t>
      </w:r>
      <w:proofErr w:type="spellEnd"/>
      <w:r w:rsidRPr="008E5124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8E5124">
        <w:rPr>
          <w:rFonts w:ascii="Times New Roman" w:hAnsi="Times New Roman"/>
          <w:b/>
          <w:i/>
          <w:sz w:val="20"/>
          <w:szCs w:val="20"/>
        </w:rPr>
        <w:t>є зареєстровані особи.</w:t>
      </w:r>
    </w:p>
    <w:p w:rsidR="00234E6D" w:rsidRDefault="00FE3B27" w:rsidP="00234E6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******з детальною інформацією щодо стану об’єктів нерухомого майна можливо ознайомитись в</w:t>
      </w:r>
    </w:p>
    <w:p w:rsidR="00FE3B27" w:rsidRPr="008E5124" w:rsidRDefault="00FE3B27" w:rsidP="00234E6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кімнаті даних Банку.</w:t>
      </w:r>
    </w:p>
    <w:p w:rsidR="00AB2BCE" w:rsidRPr="00541687" w:rsidRDefault="00AB2BCE" w:rsidP="00AB2BC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AB2BCE" w:rsidRPr="00071B9E" w:rsidRDefault="00AB2BCE" w:rsidP="00AB2BCE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0"/>
          <w:szCs w:val="20"/>
          <w:lang w:val="ru-RU"/>
        </w:rPr>
      </w:pPr>
      <w:r w:rsidRPr="00071B9E">
        <w:rPr>
          <w:rFonts w:ascii="Times New Roman" w:eastAsiaTheme="minorHAnsi" w:hAnsi="Times New Roman"/>
          <w:b/>
          <w:color w:val="000000"/>
          <w:sz w:val="20"/>
          <w:szCs w:val="20"/>
        </w:rPr>
        <w:t>Всі витрати у зв’язку з укладанням та виконанням  договорів к</w:t>
      </w:r>
      <w:proofErr w:type="spellStart"/>
      <w:r w:rsidRPr="00071B9E">
        <w:rPr>
          <w:rFonts w:ascii="Times New Roman" w:eastAsiaTheme="minorHAnsi" w:hAnsi="Times New Roman"/>
          <w:b/>
          <w:color w:val="000000"/>
          <w:sz w:val="20"/>
          <w:szCs w:val="20"/>
          <w:lang w:val="ru-RU"/>
        </w:rPr>
        <w:t>упівлі</w:t>
      </w:r>
      <w:proofErr w:type="spellEnd"/>
      <w:r w:rsidRPr="00071B9E">
        <w:rPr>
          <w:rFonts w:ascii="Times New Roman" w:eastAsiaTheme="minorHAnsi" w:hAnsi="Times New Roman"/>
          <w:b/>
          <w:color w:val="000000"/>
          <w:sz w:val="20"/>
          <w:szCs w:val="20"/>
          <w:lang w:val="ru-RU"/>
        </w:rPr>
        <w:t xml:space="preserve">-продажу </w:t>
      </w:r>
      <w:proofErr w:type="spellStart"/>
      <w:r w:rsidRPr="00071B9E">
        <w:rPr>
          <w:rFonts w:ascii="Times New Roman" w:eastAsiaTheme="minorHAnsi" w:hAnsi="Times New Roman"/>
          <w:b/>
          <w:color w:val="000000"/>
          <w:sz w:val="20"/>
          <w:szCs w:val="20"/>
          <w:lang w:val="ru-RU"/>
        </w:rPr>
        <w:t>несе</w:t>
      </w:r>
      <w:proofErr w:type="spellEnd"/>
      <w:r w:rsidRPr="00071B9E">
        <w:rPr>
          <w:rFonts w:ascii="Times New Roman" w:eastAsiaTheme="minorHAnsi" w:hAnsi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071B9E">
        <w:rPr>
          <w:rFonts w:ascii="Times New Roman" w:eastAsiaTheme="minorHAnsi" w:hAnsi="Times New Roman"/>
          <w:b/>
          <w:color w:val="000000"/>
          <w:sz w:val="20"/>
          <w:szCs w:val="20"/>
          <w:lang w:val="ru-RU"/>
        </w:rPr>
        <w:t>покупець</w:t>
      </w:r>
      <w:proofErr w:type="spellEnd"/>
      <w:r w:rsidRPr="00071B9E">
        <w:rPr>
          <w:rFonts w:ascii="Times New Roman" w:eastAsiaTheme="minorHAnsi" w:hAnsi="Times New Roman"/>
          <w:b/>
          <w:color w:val="000000"/>
          <w:sz w:val="20"/>
          <w:szCs w:val="20"/>
          <w:lang w:val="ru-RU"/>
        </w:rPr>
        <w:t>.</w:t>
      </w:r>
    </w:p>
    <w:p w:rsidR="003C526E" w:rsidRPr="00AB2BCE" w:rsidRDefault="003C526E" w:rsidP="003C526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2364EB" w:rsidRPr="004D1412" w:rsidRDefault="002364EB" w:rsidP="00FF74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364EB" w:rsidRPr="008E5124" w:rsidRDefault="002364EB" w:rsidP="00FF74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F7456" w:rsidRPr="008E5124" w:rsidRDefault="00FF7456" w:rsidP="0084001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6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1"/>
        <w:gridCol w:w="5704"/>
      </w:tblGrid>
      <w:tr w:rsidR="00287FEF" w:rsidRPr="008E5124" w:rsidTr="000402A2">
        <w:trPr>
          <w:trHeight w:val="251"/>
        </w:trPr>
        <w:tc>
          <w:tcPr>
            <w:tcW w:w="436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Фонду, про затвердження умов продажу активів (майна)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287FEF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№ 630 та 649 від 20.02.2017 року.</w:t>
            </w:r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287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/>
                <w:sz w:val="20"/>
                <w:szCs w:val="20"/>
              </w:rPr>
              <w:t>ТОВ «ІТ-Контракт»,</w:t>
            </w: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04107</w:t>
            </w: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E51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Україна, м. Київ, вул. Печенізька, 32</w:t>
            </w:r>
            <w:r w:rsidRPr="008E51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(044) 489-32-28</w:t>
            </w:r>
            <w:r w:rsidRPr="008E5124">
              <w:rPr>
                <w:rFonts w:ascii="Times New Roman" w:hAnsi="Times New Roman"/>
                <w:bCs/>
                <w:color w:val="FF9800"/>
                <w:sz w:val="20"/>
                <w:szCs w:val="20"/>
                <w:shd w:val="clear" w:color="auto" w:fill="FFFFFF"/>
              </w:rPr>
              <w:t xml:space="preserve">, </w:t>
            </w:r>
            <w:r w:rsidRPr="008E5124">
              <w:rPr>
                <w:rFonts w:ascii="Times New Roman" w:hAnsi="Times New Roman"/>
                <w:sz w:val="20"/>
                <w:szCs w:val="20"/>
              </w:rPr>
              <w:t>графік роботи: з 9:00 до 18:00</w:t>
            </w:r>
          </w:p>
          <w:p w:rsidR="00287FEF" w:rsidRPr="008E5124" w:rsidRDefault="004C1A32" w:rsidP="00287F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="00287FEF" w:rsidRPr="008E512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287FEF" w:rsidRPr="008E5124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287FEF" w:rsidRPr="008E512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my</w:t>
              </w:r>
              <w:r w:rsidR="00287FEF" w:rsidRPr="008E5124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="00287FEF" w:rsidRPr="008E512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itcontract</w:t>
              </w:r>
              <w:proofErr w:type="spellEnd"/>
              <w:r w:rsidR="00287FEF" w:rsidRPr="008E5124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287FEF" w:rsidRPr="008E512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="00287FEF"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87FEF" w:rsidRPr="008E5124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br/>
            </w:r>
            <w:r w:rsidR="00287FEF" w:rsidRPr="008E5124">
              <w:rPr>
                <w:rFonts w:ascii="Times New Roman" w:hAnsi="Times New Roman"/>
                <w:sz w:val="20"/>
                <w:szCs w:val="20"/>
              </w:rPr>
              <w:t>Посилання на перелік</w:t>
            </w:r>
          </w:p>
          <w:p w:rsidR="00287FEF" w:rsidRPr="008E5124" w:rsidRDefault="00287FEF" w:rsidP="00287F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організаторів відкритих торгів (аукціонів)</w:t>
            </w:r>
          </w:p>
          <w:p w:rsidR="00287FEF" w:rsidRPr="008E5124" w:rsidRDefault="004C1A32" w:rsidP="00287FEF">
            <w:pPr>
              <w:pStyle w:val="a3"/>
              <w:spacing w:before="0" w:after="0"/>
              <w:rPr>
                <w:sz w:val="20"/>
                <w:szCs w:val="20"/>
                <w:shd w:val="clear" w:color="auto" w:fill="FFFFFF"/>
              </w:rPr>
            </w:pPr>
            <w:hyperlink r:id="rId13" w:history="1">
              <w:r w:rsidR="00287FEF" w:rsidRPr="008E5124">
                <w:rPr>
                  <w:b/>
                  <w:bCs/>
                  <w:i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http://torgi.fg.gov.ua/prozorrosale</w:t>
              </w:r>
            </w:hyperlink>
            <w:r w:rsidR="00287FEF" w:rsidRPr="008E5124">
              <w:rPr>
                <w:b/>
                <w:bCs/>
                <w:i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287FEF" w:rsidRPr="008E5124">
              <w:rPr>
                <w:b/>
                <w:bCs/>
                <w:i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Юридичні особи та фізичні особи</w:t>
            </w:r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5124">
              <w:rPr>
                <w:rFonts w:ascii="Times New Roman" w:hAnsi="Times New Roman"/>
                <w:i/>
                <w:sz w:val="20"/>
                <w:szCs w:val="20"/>
              </w:rPr>
              <w:t>5 % (відсотків) від початкової ціни реалізації лотів</w:t>
            </w:r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лоті,  або якщо на участь у відкритих торгах (аукціоні) було зареєстровано лише одного учасника.</w:t>
            </w:r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гарантійного внеску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Перерахування 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Інформація про банківські реквізити організаторів відкритих торгів (аукціонів) розміщені за наступними посиланнями:</w:t>
            </w:r>
          </w:p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124">
              <w:rPr>
                <w:rFonts w:ascii="Times New Roman" w:hAnsi="Times New Roman"/>
                <w:i/>
                <w:sz w:val="20"/>
                <w:szCs w:val="20"/>
              </w:rPr>
              <w:t>Крок аукціону – не менше 1 % від початкової ціни реалізації за окремим лотом.</w:t>
            </w:r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 за адресою: м.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>бул. Дружби Народів, 38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8E512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287FEF" w:rsidRPr="008E5124" w:rsidRDefault="00287FEF" w:rsidP="000402A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 Київ</w:t>
            </w: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бул.Дружби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Народів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38 </w:t>
            </w:r>
            <w:hyperlink r:id="rId15" w:history="1"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info</w:t>
              </w:r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deltabank</w:t>
              </w:r>
              <w:proofErr w:type="spellEnd"/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8E51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8E5124">
              <w:rPr>
                <w:rFonts w:ascii="Times New Roman" w:hAnsi="Times New Roman"/>
                <w:b/>
                <w:sz w:val="20"/>
                <w:szCs w:val="20"/>
              </w:rPr>
              <w:t>березня 2017 року</w:t>
            </w:r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6" w:history="1"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8E51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про участь у відкритих торгах (аукціоні)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287FE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Дата початку прийому заяв - дата публікації оголошення. Дата закінчення прийому заяв 16</w:t>
            </w:r>
            <w:r w:rsidRPr="008E512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8E512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E512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03</w:t>
            </w:r>
            <w:r w:rsidRPr="008E5124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Pr="008E512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7 </w:t>
            </w:r>
            <w:r w:rsidRPr="008E51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року </w:t>
            </w:r>
            <w:r w:rsidRPr="008E512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20:00</w:t>
            </w:r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www.prozorro.sale</w:t>
            </w:r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116F02" w:rsidRDefault="00287FEF" w:rsidP="00040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</w:pPr>
            <w:r w:rsidRPr="00116F0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16.03.2017 року</w:t>
            </w:r>
            <w:r w:rsidRPr="00116F0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 xml:space="preserve"> 19-00 </w:t>
            </w:r>
          </w:p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287FEF" w:rsidRPr="008E5124" w:rsidTr="000402A2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57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Реєстраційний внесок відсутній.</w:t>
            </w:r>
          </w:p>
        </w:tc>
      </w:tr>
      <w:tr w:rsidR="00287FEF" w:rsidRPr="008E5124" w:rsidTr="000402A2">
        <w:trPr>
          <w:trHeight w:val="20"/>
        </w:trPr>
        <w:tc>
          <w:tcPr>
            <w:tcW w:w="1006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pStyle w:val="ab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(аукціону) з продажу майна (активів) банків, в яких запроваджено процедуру тимчасової адміністрації або ліквідації, який розміщено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FF7456" w:rsidRPr="008E5124" w:rsidRDefault="00FF7456" w:rsidP="00FF7456">
      <w:pPr>
        <w:spacing w:after="0" w:line="240" w:lineRule="auto"/>
        <w:rPr>
          <w:rFonts w:ascii="Times New Roman" w:hAnsi="Times New Roman"/>
          <w:bCs/>
          <w:sz w:val="20"/>
          <w:szCs w:val="20"/>
          <w:shd w:val="clear" w:color="auto" w:fill="FFFFFF"/>
        </w:rPr>
      </w:pPr>
    </w:p>
    <w:p w:rsidR="000A65A6" w:rsidRPr="008E5124" w:rsidRDefault="000A65A6">
      <w:pPr>
        <w:rPr>
          <w:rFonts w:ascii="Times New Roman" w:hAnsi="Times New Roman"/>
          <w:sz w:val="20"/>
          <w:szCs w:val="20"/>
        </w:rPr>
      </w:pPr>
    </w:p>
    <w:sectPr w:rsidR="000A65A6" w:rsidRPr="008E5124" w:rsidSect="00EC78C1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1"/>
    <w:family w:val="swiss"/>
    <w:pitch w:val="variable"/>
    <w:sig w:usb0="00000203" w:usb1="00000000" w:usb2="00000000" w:usb3="00000000" w:csb0="00000005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168E"/>
    <w:multiLevelType w:val="hybridMultilevel"/>
    <w:tmpl w:val="B5D64DCC"/>
    <w:lvl w:ilvl="0" w:tplc="41B638CE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23790CF2"/>
    <w:multiLevelType w:val="hybridMultilevel"/>
    <w:tmpl w:val="EB9E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7E69"/>
    <w:multiLevelType w:val="hybridMultilevel"/>
    <w:tmpl w:val="CAA22DD8"/>
    <w:lvl w:ilvl="0" w:tplc="2E4CA95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6795"/>
    <w:multiLevelType w:val="hybridMultilevel"/>
    <w:tmpl w:val="7A9C2ABC"/>
    <w:lvl w:ilvl="0" w:tplc="DF9ADC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74054"/>
    <w:multiLevelType w:val="hybridMultilevel"/>
    <w:tmpl w:val="B1662BF6"/>
    <w:lvl w:ilvl="0" w:tplc="E5164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3473"/>
    <w:multiLevelType w:val="hybridMultilevel"/>
    <w:tmpl w:val="8EFC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1582"/>
    <w:rsid w:val="00031B41"/>
    <w:rsid w:val="00051F48"/>
    <w:rsid w:val="00052321"/>
    <w:rsid w:val="00071E0B"/>
    <w:rsid w:val="00084418"/>
    <w:rsid w:val="000917C1"/>
    <w:rsid w:val="000A65A6"/>
    <w:rsid w:val="000D485E"/>
    <w:rsid w:val="000E7E9B"/>
    <w:rsid w:val="000F322B"/>
    <w:rsid w:val="000F7026"/>
    <w:rsid w:val="00102E5B"/>
    <w:rsid w:val="00116F02"/>
    <w:rsid w:val="00154E29"/>
    <w:rsid w:val="00197CF3"/>
    <w:rsid w:val="001C29D1"/>
    <w:rsid w:val="001C2E12"/>
    <w:rsid w:val="001F3D07"/>
    <w:rsid w:val="00234E6D"/>
    <w:rsid w:val="002364EB"/>
    <w:rsid w:val="00246D31"/>
    <w:rsid w:val="0025678D"/>
    <w:rsid w:val="0026118D"/>
    <w:rsid w:val="0026170D"/>
    <w:rsid w:val="00261F54"/>
    <w:rsid w:val="002810F0"/>
    <w:rsid w:val="00287FEF"/>
    <w:rsid w:val="002A13D5"/>
    <w:rsid w:val="002C61B9"/>
    <w:rsid w:val="002F0138"/>
    <w:rsid w:val="002F0710"/>
    <w:rsid w:val="00301B84"/>
    <w:rsid w:val="003342DD"/>
    <w:rsid w:val="0035065E"/>
    <w:rsid w:val="00380D7D"/>
    <w:rsid w:val="003906A6"/>
    <w:rsid w:val="0039214A"/>
    <w:rsid w:val="003C526E"/>
    <w:rsid w:val="003C6875"/>
    <w:rsid w:val="003E1B8D"/>
    <w:rsid w:val="003F7EE8"/>
    <w:rsid w:val="00441CFC"/>
    <w:rsid w:val="004613A9"/>
    <w:rsid w:val="00493B12"/>
    <w:rsid w:val="004B2E49"/>
    <w:rsid w:val="004D1412"/>
    <w:rsid w:val="004E406F"/>
    <w:rsid w:val="00520535"/>
    <w:rsid w:val="00520BC9"/>
    <w:rsid w:val="00541687"/>
    <w:rsid w:val="00555EC4"/>
    <w:rsid w:val="005652F5"/>
    <w:rsid w:val="00574849"/>
    <w:rsid w:val="0058725B"/>
    <w:rsid w:val="005C3D20"/>
    <w:rsid w:val="005E3EF5"/>
    <w:rsid w:val="005E7C10"/>
    <w:rsid w:val="005F6AE6"/>
    <w:rsid w:val="005F7313"/>
    <w:rsid w:val="006010B0"/>
    <w:rsid w:val="0062619A"/>
    <w:rsid w:val="00636C7E"/>
    <w:rsid w:val="00646355"/>
    <w:rsid w:val="00673C4F"/>
    <w:rsid w:val="00680A90"/>
    <w:rsid w:val="006D3F11"/>
    <w:rsid w:val="006F1A61"/>
    <w:rsid w:val="0076529E"/>
    <w:rsid w:val="00772F5E"/>
    <w:rsid w:val="00787FD3"/>
    <w:rsid w:val="007C04FA"/>
    <w:rsid w:val="007E04BA"/>
    <w:rsid w:val="007E1096"/>
    <w:rsid w:val="007F27C6"/>
    <w:rsid w:val="007F4DB7"/>
    <w:rsid w:val="008029CA"/>
    <w:rsid w:val="00816C31"/>
    <w:rsid w:val="00817A33"/>
    <w:rsid w:val="008307F8"/>
    <w:rsid w:val="0083331C"/>
    <w:rsid w:val="008379B5"/>
    <w:rsid w:val="0084001C"/>
    <w:rsid w:val="00865BE1"/>
    <w:rsid w:val="008751E6"/>
    <w:rsid w:val="00882CE7"/>
    <w:rsid w:val="008A1726"/>
    <w:rsid w:val="008A2B96"/>
    <w:rsid w:val="008B4458"/>
    <w:rsid w:val="008C0C3A"/>
    <w:rsid w:val="008D3083"/>
    <w:rsid w:val="008D6FA3"/>
    <w:rsid w:val="008E5124"/>
    <w:rsid w:val="008F613E"/>
    <w:rsid w:val="00903425"/>
    <w:rsid w:val="00912E4C"/>
    <w:rsid w:val="00916F3C"/>
    <w:rsid w:val="0092221B"/>
    <w:rsid w:val="0094094F"/>
    <w:rsid w:val="009547F5"/>
    <w:rsid w:val="00957294"/>
    <w:rsid w:val="00971076"/>
    <w:rsid w:val="00971358"/>
    <w:rsid w:val="009754B4"/>
    <w:rsid w:val="009922CE"/>
    <w:rsid w:val="009A5A57"/>
    <w:rsid w:val="009B2E17"/>
    <w:rsid w:val="009C1BDC"/>
    <w:rsid w:val="009C389F"/>
    <w:rsid w:val="009C6ACA"/>
    <w:rsid w:val="009F1B9D"/>
    <w:rsid w:val="009F2CC7"/>
    <w:rsid w:val="00A12C29"/>
    <w:rsid w:val="00A14D20"/>
    <w:rsid w:val="00A31E55"/>
    <w:rsid w:val="00A34477"/>
    <w:rsid w:val="00A82BB9"/>
    <w:rsid w:val="00A84A3C"/>
    <w:rsid w:val="00A903E2"/>
    <w:rsid w:val="00AA288F"/>
    <w:rsid w:val="00AB2BCE"/>
    <w:rsid w:val="00AF58C2"/>
    <w:rsid w:val="00B074BF"/>
    <w:rsid w:val="00B20862"/>
    <w:rsid w:val="00B22CC7"/>
    <w:rsid w:val="00B50244"/>
    <w:rsid w:val="00BA364D"/>
    <w:rsid w:val="00BE05D5"/>
    <w:rsid w:val="00BE316B"/>
    <w:rsid w:val="00BE5B5D"/>
    <w:rsid w:val="00BF0B2C"/>
    <w:rsid w:val="00BF0F6D"/>
    <w:rsid w:val="00BF71FC"/>
    <w:rsid w:val="00C03C3D"/>
    <w:rsid w:val="00C10EE5"/>
    <w:rsid w:val="00C1599B"/>
    <w:rsid w:val="00C33FC6"/>
    <w:rsid w:val="00C361C8"/>
    <w:rsid w:val="00C44DB1"/>
    <w:rsid w:val="00C469CA"/>
    <w:rsid w:val="00C92DB0"/>
    <w:rsid w:val="00CA5336"/>
    <w:rsid w:val="00D134C2"/>
    <w:rsid w:val="00D420F8"/>
    <w:rsid w:val="00D428BA"/>
    <w:rsid w:val="00D4338E"/>
    <w:rsid w:val="00D8090C"/>
    <w:rsid w:val="00DD0651"/>
    <w:rsid w:val="00DE7330"/>
    <w:rsid w:val="00DF4093"/>
    <w:rsid w:val="00E01BEE"/>
    <w:rsid w:val="00E02BDB"/>
    <w:rsid w:val="00E210C7"/>
    <w:rsid w:val="00E40DFD"/>
    <w:rsid w:val="00E41EBA"/>
    <w:rsid w:val="00E442C1"/>
    <w:rsid w:val="00E528AA"/>
    <w:rsid w:val="00E53DB4"/>
    <w:rsid w:val="00E81DD7"/>
    <w:rsid w:val="00E872B4"/>
    <w:rsid w:val="00EA42BE"/>
    <w:rsid w:val="00EB4D68"/>
    <w:rsid w:val="00EC78C1"/>
    <w:rsid w:val="00ED2328"/>
    <w:rsid w:val="00ED378D"/>
    <w:rsid w:val="00F004C1"/>
    <w:rsid w:val="00F21DD2"/>
    <w:rsid w:val="00F26028"/>
    <w:rsid w:val="00F33D92"/>
    <w:rsid w:val="00F37211"/>
    <w:rsid w:val="00F37304"/>
    <w:rsid w:val="00F471FD"/>
    <w:rsid w:val="00F561F3"/>
    <w:rsid w:val="00F62379"/>
    <w:rsid w:val="00F910E0"/>
    <w:rsid w:val="00FA43C3"/>
    <w:rsid w:val="00FC1166"/>
    <w:rsid w:val="00FC3B79"/>
    <w:rsid w:val="00FC7DE5"/>
    <w:rsid w:val="00FD44C3"/>
    <w:rsid w:val="00FE3B27"/>
    <w:rsid w:val="00FF540D"/>
    <w:rsid w:val="00FF5E5D"/>
    <w:rsid w:val="00FF6F6A"/>
    <w:rsid w:val="00FF7456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0B845-2A3F-4CF8-ACD4-262CC7E9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64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6D31"/>
  </w:style>
  <w:style w:type="paragraph" w:styleId="aa">
    <w:name w:val="List Paragraph"/>
    <w:basedOn w:val="a"/>
    <w:uiPriority w:val="34"/>
    <w:qFormat/>
    <w:rsid w:val="0026170D"/>
    <w:pPr>
      <w:ind w:left="720"/>
      <w:contextualSpacing/>
    </w:pPr>
  </w:style>
  <w:style w:type="paragraph" w:styleId="ab">
    <w:name w:val="No Spacing"/>
    <w:uiPriority w:val="1"/>
    <w:qFormat/>
    <w:rsid w:val="002364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rsid w:val="00AF58C2"/>
    <w:pPr>
      <w:keepNext/>
      <w:keepLines/>
      <w:widowControl w:val="0"/>
      <w:suppressAutoHyphens/>
      <w:spacing w:before="480" w:after="120"/>
      <w:contextualSpacing/>
      <w:outlineLvl w:val="0"/>
    </w:pPr>
    <w:rPr>
      <w:rFonts w:ascii="Liberation Sans" w:eastAsia="Droid Sans Fallback" w:hAnsi="Liberation Sans" w:cs="FreeSans"/>
      <w:b/>
      <w:color w:val="000000"/>
      <w:sz w:val="48"/>
      <w:szCs w:val="48"/>
      <w:lang w:eastAsia="uk-UA"/>
    </w:rPr>
  </w:style>
  <w:style w:type="character" w:styleId="ac">
    <w:name w:val="annotation reference"/>
    <w:basedOn w:val="a0"/>
    <w:uiPriority w:val="99"/>
    <w:semiHidden/>
    <w:unhideWhenUsed/>
    <w:rsid w:val="00FC11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116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116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11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11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4">
    <w:name w:val="Обычный (веб) Знак"/>
    <w:link w:val="a3"/>
    <w:locked/>
    <w:rsid w:val="00197CF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FollowedHyperlink"/>
    <w:basedOn w:val="a0"/>
    <w:uiPriority w:val="99"/>
    <w:semiHidden/>
    <w:unhideWhenUsed/>
    <w:rsid w:val="0097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0408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.fg.gov.ua/120407" TargetMode="External"/><Relationship Id="rId12" Type="http://schemas.openxmlformats.org/officeDocument/2006/relationships/hyperlink" Target="http://www.my-itcontrac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9834" TargetMode="External"/><Relationship Id="rId11" Type="http://schemas.openxmlformats.org/officeDocument/2006/relationships/hyperlink" Target="http://torgi.fg.gov.ua/1217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21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20405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F0F5-7342-4C2B-8B57-18FF99B2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4595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Iryna Shuliak</cp:lastModifiedBy>
  <cp:revision>8</cp:revision>
  <cp:lastPrinted>2017-02-22T16:05:00Z</cp:lastPrinted>
  <dcterms:created xsi:type="dcterms:W3CDTF">2017-02-22T12:56:00Z</dcterms:created>
  <dcterms:modified xsi:type="dcterms:W3CDTF">2017-02-22T16:05:00Z</dcterms:modified>
</cp:coreProperties>
</file>