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65" w:rsidRPr="00BD0916" w:rsidRDefault="000A3865" w:rsidP="00715FA9">
      <w:pPr>
        <w:jc w:val="center"/>
        <w:rPr>
          <w:b/>
        </w:rPr>
      </w:pPr>
      <w:r w:rsidRPr="00BD0916">
        <w:rPr>
          <w:b/>
        </w:rPr>
        <w:t>ПАСПОРТ ВІДКРИТИХ ТОРГІВ (АУКЦІОНУ)</w:t>
      </w:r>
    </w:p>
    <w:p w:rsidR="000A3865" w:rsidRPr="00BD0916" w:rsidRDefault="000A3865" w:rsidP="00715FA9">
      <w:pPr>
        <w:jc w:val="center"/>
      </w:pPr>
      <w:r w:rsidRPr="00BD0916">
        <w:rPr>
          <w:b/>
        </w:rPr>
        <w:t>з продажу майна ПАТ Банк «Контракт»</w:t>
      </w:r>
    </w:p>
    <w:p w:rsidR="000A3865" w:rsidRPr="008862B0" w:rsidRDefault="000A3865" w:rsidP="00715FA9">
      <w:pPr>
        <w:ind w:firstLine="708"/>
        <w:jc w:val="both"/>
        <w:rPr>
          <w:sz w:val="20"/>
          <w:szCs w:val="20"/>
        </w:rPr>
      </w:pPr>
    </w:p>
    <w:p w:rsidR="000A3865" w:rsidRPr="008862B0" w:rsidRDefault="000A3865" w:rsidP="00715FA9">
      <w:pPr>
        <w:ind w:firstLine="708"/>
        <w:jc w:val="both"/>
        <w:rPr>
          <w:sz w:val="20"/>
          <w:szCs w:val="20"/>
        </w:rPr>
      </w:pPr>
      <w:r w:rsidRPr="008862B0">
        <w:rPr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Банк «Контракт»: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6"/>
        <w:gridCol w:w="1680"/>
        <w:gridCol w:w="1888"/>
        <w:gridCol w:w="3045"/>
        <w:gridCol w:w="1061"/>
        <w:gridCol w:w="1227"/>
      </w:tblGrid>
      <w:tr w:rsidR="000A3865" w:rsidRPr="00CA4867" w:rsidTr="00CA4867">
        <w:trPr>
          <w:trHeight w:val="738"/>
        </w:trPr>
        <w:tc>
          <w:tcPr>
            <w:tcW w:w="55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0A3865" w:rsidRPr="00CA4867" w:rsidRDefault="000A3865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85" w:type="pct"/>
            <w:gridSpan w:val="3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2051" w:type="pct"/>
            <w:gridSpan w:val="2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ціна/початкова ціна реалізації лоту, грн. (з ПДВ)</w:t>
            </w:r>
          </w:p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A4867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A4867" w:rsidRPr="00CA4867" w:rsidTr="00CA4867">
        <w:trPr>
          <w:trHeight w:val="236"/>
        </w:trPr>
        <w:tc>
          <w:tcPr>
            <w:tcW w:w="551" w:type="pct"/>
            <w:vMerge w:val="restar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</w:t>
            </w: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0820b7007</w:t>
            </w:r>
          </w:p>
        </w:tc>
        <w:tc>
          <w:tcPr>
            <w:tcW w:w="1785" w:type="pct"/>
            <w:gridSpan w:val="3"/>
            <w:vMerge w:val="restart"/>
          </w:tcPr>
          <w:p w:rsidR="000A3865" w:rsidRPr="00CA4867" w:rsidRDefault="000A3865" w:rsidP="005E2AE3">
            <w:pP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NCR 5887 Personas-87 та система відео нагляду, а саме:</w:t>
            </w:r>
          </w:p>
          <w:p w:rsidR="000A3865" w:rsidRPr="00CA4867" w:rsidRDefault="000A3865" w:rsidP="00BC65C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8"/>
              </w:tabs>
              <w:ind w:left="0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- Банкомат NCR 5887 Personas-87 вуличний через стіну серійний номер 13-42606232;</w:t>
            </w:r>
          </w:p>
          <w:p w:rsidR="000A3865" w:rsidRPr="00CA4867" w:rsidRDefault="000A3865" w:rsidP="00BC65C6">
            <w:pPr>
              <w:tabs>
                <w:tab w:val="num" w:pos="78"/>
              </w:tabs>
              <w:rPr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- Система відеонагляду для банкомату NCR 5887</w:t>
            </w: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A4867">
              <w:rPr>
                <w:bCs/>
                <w:i/>
                <w:iCs/>
                <w:sz w:val="16"/>
                <w:szCs w:val="16"/>
              </w:rPr>
              <w:t>33 340,55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http://torgi.fg.gov.ua:80/117777</w:t>
              </w:r>
            </w:hyperlink>
          </w:p>
        </w:tc>
      </w:tr>
      <w:tr w:rsidR="00CA4867" w:rsidRPr="00CA4867" w:rsidTr="00CA4867">
        <w:trPr>
          <w:trHeight w:val="453"/>
        </w:trPr>
        <w:tc>
          <w:tcPr>
            <w:tcW w:w="551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30 006,50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322"/>
        </w:trPr>
        <w:tc>
          <w:tcPr>
            <w:tcW w:w="551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26 672,44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240"/>
        </w:trPr>
        <w:tc>
          <w:tcPr>
            <w:tcW w:w="551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A4867">
              <w:rPr>
                <w:bCs/>
                <w:i/>
                <w:iCs/>
                <w:sz w:val="16"/>
                <w:szCs w:val="16"/>
              </w:rPr>
              <w:t>23 338,39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298"/>
        </w:trPr>
        <w:tc>
          <w:tcPr>
            <w:tcW w:w="551" w:type="pct"/>
            <w:vMerge w:val="restar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Q80820b7008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A130F3">
            <w:pPr>
              <w:rPr>
                <w:sz w:val="16"/>
                <w:szCs w:val="16"/>
              </w:rPr>
            </w:pPr>
            <w:r w:rsidRPr="00CA4867">
              <w:rPr>
                <w:b/>
                <w:bCs/>
                <w:sz w:val="16"/>
                <w:szCs w:val="16"/>
              </w:rPr>
              <w:t>Банкомат NCR 5887 Personas-87 та система відеонагляду, а саме:</w:t>
            </w:r>
            <w:r w:rsidRPr="00CA4867">
              <w:rPr>
                <w:sz w:val="16"/>
                <w:szCs w:val="16"/>
              </w:rPr>
              <w:t xml:space="preserve"> </w:t>
            </w:r>
          </w:p>
          <w:p w:rsidR="000A3865" w:rsidRPr="00CA4867" w:rsidRDefault="000A3865" w:rsidP="00A130F3">
            <w:pPr>
              <w:rPr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 xml:space="preserve">-  Банкомат NCR 5887 Personas-87 вуличний через стіну серійний номер 13-42606230; </w:t>
            </w:r>
          </w:p>
          <w:p w:rsidR="000A3865" w:rsidRPr="00CA4867" w:rsidRDefault="000A3865" w:rsidP="00A130F3">
            <w:pPr>
              <w:rPr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>- Система відеонагляду для банкомату NCR 5887;</w:t>
            </w:r>
          </w:p>
          <w:p w:rsidR="000A3865" w:rsidRPr="00CA4867" w:rsidRDefault="000A3865" w:rsidP="00CA4867">
            <w:pPr>
              <w:rPr>
                <w:b/>
                <w:bCs/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>- Система відеонагляду для банкомату NCR 5887</w:t>
            </w: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37 150,79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http://torgi.fg.gov.ua:80/117778</w:t>
              </w:r>
            </w:hyperlink>
          </w:p>
        </w:tc>
      </w:tr>
      <w:tr w:rsidR="00CA4867" w:rsidRPr="00CA4867" w:rsidTr="00CA4867">
        <w:trPr>
          <w:trHeight w:val="280"/>
        </w:trPr>
        <w:tc>
          <w:tcPr>
            <w:tcW w:w="551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33 435,71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329"/>
        </w:trPr>
        <w:tc>
          <w:tcPr>
            <w:tcW w:w="551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29 720,63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192"/>
        </w:trPr>
        <w:tc>
          <w:tcPr>
            <w:tcW w:w="551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26 005,55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270"/>
        </w:trPr>
        <w:tc>
          <w:tcPr>
            <w:tcW w:w="551" w:type="pct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Q80820b7009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A130F3">
            <w:pPr>
              <w:rPr>
                <w:b/>
                <w:bCs/>
                <w:sz w:val="16"/>
                <w:szCs w:val="16"/>
              </w:rPr>
            </w:pPr>
            <w:r w:rsidRPr="00CA4867">
              <w:rPr>
                <w:b/>
                <w:bCs/>
                <w:sz w:val="16"/>
                <w:szCs w:val="16"/>
              </w:rPr>
              <w:t xml:space="preserve">Банкомат NCR 5887 Personas-87 та система відеонагляду, а саме: </w:t>
            </w:r>
          </w:p>
          <w:p w:rsidR="000A3865" w:rsidRPr="00CA4867" w:rsidRDefault="000A3865" w:rsidP="00A130F3">
            <w:pPr>
              <w:rPr>
                <w:sz w:val="16"/>
                <w:szCs w:val="16"/>
              </w:rPr>
            </w:pPr>
            <w:r w:rsidRPr="00CA4867">
              <w:rPr>
                <w:b/>
                <w:bCs/>
                <w:sz w:val="16"/>
                <w:szCs w:val="16"/>
              </w:rPr>
              <w:t xml:space="preserve">- </w:t>
            </w:r>
            <w:r w:rsidRPr="00CA4867">
              <w:rPr>
                <w:sz w:val="16"/>
                <w:szCs w:val="16"/>
              </w:rPr>
              <w:t>Банкомат NCR 5887 Personas-87 вуличний через стіну серійний номер 13-42606208;</w:t>
            </w:r>
          </w:p>
          <w:p w:rsidR="000A3865" w:rsidRPr="00CA4867" w:rsidRDefault="000A3865" w:rsidP="00A130F3">
            <w:pPr>
              <w:rPr>
                <w:b/>
                <w:bCs/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>- Система відеонагляду для банкомату NCR 5887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33 340,55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http://torgi.fg.gov.ua:80/117779</w:t>
              </w:r>
            </w:hyperlink>
          </w:p>
        </w:tc>
      </w:tr>
      <w:tr w:rsidR="00CA4867" w:rsidRPr="00CA4867" w:rsidTr="00CA4867">
        <w:trPr>
          <w:trHeight w:val="304"/>
        </w:trPr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30 006,50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278"/>
        </w:trPr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26 672,44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358"/>
        </w:trPr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23 338,39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194"/>
        </w:trPr>
        <w:tc>
          <w:tcPr>
            <w:tcW w:w="551" w:type="pct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Q80820b7010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A130F3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Банкомат NCR 5886 б/в Personas 86 хольний</w:t>
            </w: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20 733,42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http://torgi.fg.gov.ua:80/117781</w:t>
              </w:r>
            </w:hyperlink>
          </w:p>
        </w:tc>
      </w:tr>
      <w:tr w:rsidR="00CA4867" w:rsidRPr="00CA4867" w:rsidTr="00CA4867">
        <w:trPr>
          <w:trHeight w:val="244"/>
        </w:trPr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18 660,08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134"/>
        </w:trPr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16 586,74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296"/>
        </w:trPr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A130F3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14 513,39</w:t>
            </w:r>
          </w:p>
          <w:p w:rsidR="000A3865" w:rsidRPr="00CA4867" w:rsidRDefault="000A3865" w:rsidP="00A130F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Q80820b7011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CA4867">
            <w:pPr>
              <w:jc w:val="center"/>
              <w:rPr>
                <w:b/>
                <w:bCs/>
                <w:sz w:val="16"/>
                <w:szCs w:val="16"/>
              </w:rPr>
            </w:pPr>
            <w:r w:rsidRPr="00CA4867">
              <w:rPr>
                <w:b/>
                <w:bCs/>
                <w:sz w:val="16"/>
                <w:szCs w:val="16"/>
              </w:rPr>
              <w:t xml:space="preserve">Садовий будинок та земельна ділянка, розташовані за адресою: Сумська обл., Конотопський р-н, с Сарнавщина, садівниче товариство "Металіст" , а саме: </w:t>
            </w:r>
            <w:r w:rsidRPr="00CA4867">
              <w:rPr>
                <w:sz w:val="16"/>
                <w:szCs w:val="16"/>
              </w:rPr>
              <w:t xml:space="preserve">Садовий будинок №89, площею 63,8 кв.м. та земельна ділянка, площею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CA4867">
                <w:rPr>
                  <w:sz w:val="16"/>
                  <w:szCs w:val="16"/>
                </w:rPr>
                <w:t>0,04 га</w:t>
              </w:r>
            </w:smartTag>
            <w:r w:rsidRPr="00CA4867">
              <w:rPr>
                <w:sz w:val="16"/>
                <w:szCs w:val="16"/>
              </w:rPr>
              <w:t>, з цільовим призначенням: для індивідуального садівництва</w:t>
            </w: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76 684,89</w:t>
            </w:r>
          </w:p>
          <w:p w:rsidR="000A3865" w:rsidRPr="00CA4867" w:rsidRDefault="000A3865" w:rsidP="0080165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http://torgi.fg.gov.ua:80/119605</w:t>
              </w:r>
            </w:hyperlink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69 016,40</w:t>
            </w:r>
          </w:p>
          <w:p w:rsidR="000A3865" w:rsidRPr="00CA4867" w:rsidRDefault="000A3865" w:rsidP="0080165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61 347,91</w:t>
            </w:r>
          </w:p>
          <w:p w:rsidR="000A3865" w:rsidRPr="00CA4867" w:rsidRDefault="000A3865" w:rsidP="0080165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rPr>
          <w:trHeight w:val="107"/>
        </w:trPr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53 679,42</w:t>
            </w:r>
          </w:p>
          <w:p w:rsidR="000A3865" w:rsidRPr="00CA4867" w:rsidRDefault="000A3865" w:rsidP="0080165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1" w:type="pct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Q80820b7012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4867">
              <w:rPr>
                <w:bCs/>
                <w:color w:val="000000"/>
                <w:sz w:val="16"/>
                <w:szCs w:val="16"/>
              </w:rPr>
              <w:t>Причіп до легкового автомобіля: марка "Купава", модель 81329, 2008 року випуску (Державний номер  АА 5753 ХР)</w:t>
            </w:r>
            <w:r w:rsidRPr="00CA4867">
              <w:rPr>
                <w:bCs/>
                <w:sz w:val="16"/>
                <w:szCs w:val="16"/>
              </w:rPr>
              <w:t>,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15 675,64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http://torgi.fg.gov.ua:80/112847</w:t>
              </w:r>
            </w:hyperlink>
          </w:p>
        </w:tc>
      </w:tr>
      <w:tr w:rsidR="000A3865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14 108,08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12 540,51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10 972,95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3868" w:rsidRPr="00CA4867" w:rsidTr="00CA4867">
        <w:trPr>
          <w:trHeight w:val="292"/>
        </w:trPr>
        <w:tc>
          <w:tcPr>
            <w:tcW w:w="551" w:type="pct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Q80820b7013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4867">
              <w:rPr>
                <w:bCs/>
                <w:color w:val="000000"/>
                <w:sz w:val="16"/>
                <w:szCs w:val="16"/>
              </w:rPr>
              <w:t>Причіп до легкового автомобіля: марка "Купава", модель 81329, 2008 року випуску (Державний номер  АА 5761 ХР)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15 675,64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http://torgi.fg.gov.ua:80/112849</w:t>
              </w:r>
            </w:hyperlink>
          </w:p>
        </w:tc>
      </w:tr>
      <w:tr w:rsidR="000A3865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14 108,08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12 540,51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10 972,95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Q80820b7014</w:t>
            </w:r>
          </w:p>
        </w:tc>
        <w:tc>
          <w:tcPr>
            <w:tcW w:w="1782" w:type="pct"/>
            <w:gridSpan w:val="2"/>
            <w:vMerge w:val="restar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4867">
              <w:rPr>
                <w:bCs/>
                <w:color w:val="000000"/>
                <w:sz w:val="16"/>
                <w:szCs w:val="16"/>
              </w:rPr>
              <w:t>Причіп до легкового автомобіля: марка "Купава", модель 913290, 2008 року випуску (Державний номер  АА 5763 ХР)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15 675,64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http://torgi.fg.gov.ua:80/112850</w:t>
              </w:r>
            </w:hyperlink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14 108,08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80165D">
            <w:pPr>
              <w:spacing w:line="256" w:lineRule="auto"/>
              <w:ind w:left="-108" w:firstLine="108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12 540,51</w:t>
            </w:r>
          </w:p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10 972,95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3868" w:rsidRPr="00CA4867" w:rsidTr="00CA4867">
        <w:trPr>
          <w:trHeight w:val="387"/>
        </w:trPr>
        <w:tc>
          <w:tcPr>
            <w:tcW w:w="554" w:type="pct"/>
            <w:gridSpan w:val="2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Q80820b7015</w:t>
            </w:r>
          </w:p>
        </w:tc>
        <w:tc>
          <w:tcPr>
            <w:tcW w:w="1782" w:type="pct"/>
            <w:gridSpan w:val="2"/>
            <w:vMerge w:val="restart"/>
            <w:vAlign w:val="center"/>
          </w:tcPr>
          <w:p w:rsidR="000A3865" w:rsidRPr="00CA4867" w:rsidRDefault="000A3865" w:rsidP="00801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4867">
              <w:rPr>
                <w:bCs/>
                <w:color w:val="000000"/>
                <w:sz w:val="16"/>
                <w:szCs w:val="16"/>
              </w:rPr>
              <w:t>Причіп до легкового автомобіля: марка "Купава", модель 81329, 2008 року випуску (Державний номер  АА 5749 ХР)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15 675,64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http://torgi.fg.gov.ua:80/112848</w:t>
              </w:r>
            </w:hyperlink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14 108,08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12 540,51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10 972,95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Q80820b7016</w:t>
            </w:r>
          </w:p>
        </w:tc>
        <w:tc>
          <w:tcPr>
            <w:tcW w:w="1782" w:type="pct"/>
            <w:gridSpan w:val="2"/>
            <w:vMerge w:val="restar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4867">
              <w:rPr>
                <w:bCs/>
                <w:color w:val="000000"/>
                <w:sz w:val="16"/>
                <w:szCs w:val="16"/>
              </w:rPr>
              <w:t>Причіп до легкового автомобіля: марка "Купава", модель 81329, 2008 року випуску (Державний номер  АА 5752 ХР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CA486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  <w:r w:rsidR="00CA4867" w:rsidRPr="00CA486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15 675,64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http://torgi.fg.gov.ua:80/112851</w:t>
              </w:r>
            </w:hyperlink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CA486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CA4867" w:rsidRPr="00CA486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14 108,08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12 540,51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CA4867" w:rsidTr="00CA4867">
        <w:tc>
          <w:tcPr>
            <w:tcW w:w="554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4C4AF0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10 972,95</w:t>
            </w:r>
          </w:p>
          <w:p w:rsidR="000A3865" w:rsidRPr="00CA4867" w:rsidRDefault="000A3865" w:rsidP="004C4AF0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Q80820b7017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Нежиле приміщення № 125, за адресою : м. Київ, вул. Кільцева дорога, буд. 8, цокольний поверх 9 поверхового будинку, загальною площею 239,6 кв.м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02.06.2017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1 652 718,82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http://torgi.fg.gov.ua:80/119114</w:t>
              </w:r>
            </w:hyperlink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21.06.2017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1 487 446,94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1 322 175,06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1 156 903,17</w:t>
            </w:r>
          </w:p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 w:val="restart"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Q80820b7018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0A3865" w:rsidRPr="00CA4867" w:rsidRDefault="000A3865" w:rsidP="00E75C1D">
            <w:pPr>
              <w:rPr>
                <w:b/>
                <w:bCs/>
                <w:sz w:val="16"/>
                <w:szCs w:val="16"/>
              </w:rPr>
            </w:pPr>
            <w:r w:rsidRPr="00CA4867">
              <w:rPr>
                <w:b/>
                <w:bCs/>
                <w:sz w:val="16"/>
                <w:szCs w:val="16"/>
              </w:rPr>
              <w:t xml:space="preserve">Комплекс, будівель і споруд м’ясопереробного комбінату, земельні ділянки та необоротні активи утримані для продажу та основні засоби (обладнання) в кількості 280 одиниць, а саме: </w:t>
            </w:r>
          </w:p>
          <w:p w:rsidR="000A3865" w:rsidRPr="00CA4867" w:rsidRDefault="000A3865" w:rsidP="00E75C1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rPr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>- Комплекс, будівель і споруд м’ясопереробного комбінату, що розташований за адресою: Київська область, Баришівський район, с. Перемога, вулиця Куренівська (Жовтнева), 52, заг. пл. 1806,6 кв.м.</w:t>
            </w:r>
          </w:p>
          <w:p w:rsidR="000A3865" w:rsidRPr="00CA4867" w:rsidRDefault="000A3865" w:rsidP="00E75C1D">
            <w:pPr>
              <w:rPr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 xml:space="preserve">-  Земельна ділянка № 3220286100:16:076:0760, для розміщення та експлуатації основних, підсобних і допоміжних будівель та споруд підприємств переробної, машинобудівної та іншої промисловості, розташована за адресою:  Київська обл., Баришівський район, с/рада Перемозька, заг. пл. </w:t>
            </w:r>
            <w:smartTag w:uri="urn:schemas-microsoft-com:office:smarttags" w:element="metricconverter">
              <w:smartTagPr>
                <w:attr w:name="ProductID" w:val="1,2579 га"/>
              </w:smartTagPr>
              <w:r w:rsidRPr="00CA4867">
                <w:rPr>
                  <w:sz w:val="16"/>
                  <w:szCs w:val="16"/>
                </w:rPr>
                <w:t>1,2579 га</w:t>
              </w:r>
            </w:smartTag>
            <w:r w:rsidRPr="00CA4867">
              <w:rPr>
                <w:sz w:val="16"/>
                <w:szCs w:val="16"/>
              </w:rPr>
              <w:t>.</w:t>
            </w:r>
          </w:p>
          <w:p w:rsidR="000A3865" w:rsidRPr="00CA4867" w:rsidRDefault="000A3865" w:rsidP="00E75C1D">
            <w:pPr>
              <w:rPr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 xml:space="preserve">- Земельна ділянка № 3220286100:16:076:0761, для розміщення та експлуатації основних, підсобних і допоміжних будівель та споруд підприємств переробної, машинобудівної та іншої промисловості, розташована за адресою:  Київська обл., Баришівський район, с/рада Перемозька, заг. пл.0,74 га. </w:t>
            </w:r>
          </w:p>
          <w:p w:rsidR="000A3865" w:rsidRPr="00CA4867" w:rsidRDefault="000A3865" w:rsidP="00E75C1D">
            <w:pPr>
              <w:rPr>
                <w:sz w:val="16"/>
                <w:szCs w:val="16"/>
              </w:rPr>
            </w:pPr>
            <w:r w:rsidRPr="00CA4867">
              <w:rPr>
                <w:sz w:val="16"/>
                <w:szCs w:val="16"/>
              </w:rPr>
              <w:t>- Необоротні активи утримувані для продажу та основні засоби (обладнання) 280 одиниць</w:t>
            </w:r>
          </w:p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02.06.2017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</w:p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4 680 060,52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A3865" w:rsidRPr="00CA4867" w:rsidRDefault="00CA4867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: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//torgi.fg.gov.ua:80/121378</w:t>
              </w:r>
            </w:hyperlink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21.06.2017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4 212 054,47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07.07.2017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3 744 048,42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A4867" w:rsidRPr="00CA4867" w:rsidTr="00CA4867">
        <w:tc>
          <w:tcPr>
            <w:tcW w:w="551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85" w:type="pct"/>
            <w:gridSpan w:val="3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21" w:type="pct"/>
            <w:vAlign w:val="center"/>
          </w:tcPr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A486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25.07.2017</w:t>
            </w:r>
          </w:p>
        </w:tc>
        <w:tc>
          <w:tcPr>
            <w:tcW w:w="530" w:type="pct"/>
            <w:vAlign w:val="center"/>
          </w:tcPr>
          <w:p w:rsidR="000A3865" w:rsidRPr="00CA4867" w:rsidRDefault="000A3865" w:rsidP="00E75C1D">
            <w:pPr>
              <w:jc w:val="center"/>
              <w:rPr>
                <w:bCs/>
                <w:sz w:val="16"/>
                <w:szCs w:val="16"/>
              </w:rPr>
            </w:pPr>
            <w:r w:rsidRPr="00CA4867">
              <w:rPr>
                <w:bCs/>
                <w:sz w:val="16"/>
                <w:szCs w:val="16"/>
              </w:rPr>
              <w:t>3 276 042,36</w:t>
            </w:r>
          </w:p>
          <w:p w:rsidR="000A3865" w:rsidRPr="00CA4867" w:rsidRDefault="000A3865" w:rsidP="00E75C1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3" w:type="pct"/>
            <w:vMerge/>
            <w:vAlign w:val="center"/>
          </w:tcPr>
          <w:p w:rsidR="000A3865" w:rsidRPr="00CA4867" w:rsidRDefault="000A3865" w:rsidP="005E2AE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3607" w:type="pct"/>
            <w:gridSpan w:val="4"/>
            <w:vAlign w:val="center"/>
          </w:tcPr>
          <w:p w:rsidR="000A3865" w:rsidRPr="008862B0" w:rsidRDefault="000A3865" w:rsidP="00EF215B">
            <w:pPr>
              <w:jc w:val="both"/>
              <w:rPr>
                <w:i/>
                <w:sz w:val="20"/>
                <w:szCs w:val="20"/>
              </w:rPr>
            </w:pPr>
            <w:r w:rsidRPr="008862B0">
              <w:rPr>
                <w:i/>
                <w:sz w:val="20"/>
                <w:szCs w:val="20"/>
              </w:rPr>
              <w:t>№ 1946 від 15.05.2017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FB02E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862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Товарна біржа «Київський інсайдерський фонд», </w:t>
            </w:r>
          </w:p>
          <w:p w:rsidR="000A3865" w:rsidRPr="008862B0" w:rsidRDefault="000A3865" w:rsidP="00FB02E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862B0">
              <w:rPr>
                <w:bCs/>
                <w:sz w:val="20"/>
                <w:szCs w:val="20"/>
                <w:shd w:val="clear" w:color="auto" w:fill="FFFFFF"/>
              </w:rPr>
              <w:t>код ЄДРПОУ 36024932;</w:t>
            </w:r>
          </w:p>
          <w:p w:rsidR="000A3865" w:rsidRPr="008862B0" w:rsidRDefault="000A3865" w:rsidP="00FB02E9">
            <w:pPr>
              <w:spacing w:before="6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862B0">
              <w:rPr>
                <w:bCs/>
                <w:sz w:val="20"/>
                <w:szCs w:val="20"/>
                <w:shd w:val="clear" w:color="auto" w:fill="FFFFFF"/>
              </w:rPr>
              <w:t xml:space="preserve">Місцезнаходження: </w:t>
            </w:r>
            <w:smartTag w:uri="urn:schemas-microsoft-com:office:smarttags" w:element="metricconverter">
              <w:smartTagPr>
                <w:attr w:name="ProductID" w:val="03150, м"/>
              </w:smartTagPr>
              <w:r w:rsidRPr="008862B0">
                <w:rPr>
                  <w:bCs/>
                  <w:sz w:val="20"/>
                  <w:szCs w:val="20"/>
                  <w:shd w:val="clear" w:color="auto" w:fill="FFFFFF"/>
                </w:rPr>
                <w:t>03150, м</w:t>
              </w:r>
            </w:smartTag>
            <w:r w:rsidRPr="008862B0">
              <w:rPr>
                <w:bCs/>
                <w:sz w:val="20"/>
                <w:szCs w:val="20"/>
                <w:shd w:val="clear" w:color="auto" w:fill="FFFFFF"/>
              </w:rPr>
              <w:t xml:space="preserve">. Київ, вул. Велика Васильківська, буд. 72, оф. 8 (БЦ «Олімпійський»); 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 Тел. (044) 228-10-09; (067) 613-04-00. Веб-сайт: : </w:t>
            </w:r>
            <w:hyperlink r:id="rId19" w:history="1">
              <w:r w:rsidRPr="008862B0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https://sale.kif.in.ua</w:t>
              </w:r>
            </w:hyperlink>
            <w:r w:rsidRPr="008862B0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0A3865" w:rsidRPr="008862B0" w:rsidRDefault="000A3865" w:rsidP="00FB02E9">
            <w:pPr>
              <w:spacing w:before="60"/>
              <w:jc w:val="both"/>
              <w:rPr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0" w:history="1">
              <w:r w:rsidRPr="008862B0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i/>
                <w:sz w:val="20"/>
                <w:szCs w:val="20"/>
              </w:rPr>
            </w:pPr>
            <w:r w:rsidRPr="008862B0">
              <w:rPr>
                <w:b/>
                <w:bCs/>
                <w:sz w:val="20"/>
                <w:szCs w:val="20"/>
              </w:rPr>
              <w:t>На рівні 5% від початкової ціни лотів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 xml:space="preserve">Банківські реквізити для </w:t>
            </w:r>
            <w:r w:rsidRPr="008862B0">
              <w:rPr>
                <w:bCs/>
                <w:sz w:val="20"/>
                <w:szCs w:val="20"/>
              </w:rPr>
              <w:t xml:space="preserve">перерахування </w:t>
            </w:r>
            <w:r w:rsidRPr="008862B0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3607" w:type="pct"/>
            <w:gridSpan w:val="4"/>
            <w:vAlign w:val="center"/>
          </w:tcPr>
          <w:p w:rsidR="000A3865" w:rsidRPr="008862B0" w:rsidRDefault="000A3865" w:rsidP="00BD0916">
            <w:pPr>
              <w:jc w:val="both"/>
              <w:rPr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</w:t>
            </w:r>
            <w:r w:rsidRPr="008862B0">
              <w:rPr>
                <w:bCs/>
                <w:sz w:val="20"/>
                <w:szCs w:val="20"/>
              </w:rPr>
              <w:t>відкритих торгів (аукціонів)</w:t>
            </w:r>
            <w:r w:rsidRPr="008862B0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862B0">
              <w:rPr>
                <w:bCs/>
                <w:sz w:val="20"/>
                <w:szCs w:val="20"/>
              </w:rPr>
              <w:t>відкритих торгів (аукціонів)</w:t>
            </w:r>
            <w:r w:rsidRPr="008862B0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21" w:history="1">
              <w:r w:rsidRPr="008862B0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i/>
                <w:sz w:val="20"/>
                <w:szCs w:val="20"/>
              </w:rPr>
            </w:pPr>
            <w:r w:rsidRPr="008862B0">
              <w:rPr>
                <w:b/>
                <w:sz w:val="20"/>
                <w:szCs w:val="20"/>
              </w:rPr>
              <w:t>Крок аукціону</w:t>
            </w:r>
            <w:r w:rsidRPr="008862B0">
              <w:rPr>
                <w:b/>
                <w:i/>
                <w:sz w:val="20"/>
                <w:szCs w:val="20"/>
              </w:rPr>
              <w:t xml:space="preserve"> – не менше1% від початкової ціни реалізації лотів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3607" w:type="pct"/>
            <w:gridSpan w:val="4"/>
            <w:vAlign w:val="center"/>
          </w:tcPr>
          <w:p w:rsidR="000A3865" w:rsidRPr="008862B0" w:rsidRDefault="000A3865" w:rsidP="008604A6">
            <w:pPr>
              <w:jc w:val="both"/>
              <w:rPr>
                <w:i/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>Ознайомитись з майном можна</w:t>
            </w:r>
            <w:r w:rsidRPr="008862B0">
              <w:rPr>
                <w:i/>
                <w:sz w:val="20"/>
                <w:szCs w:val="20"/>
              </w:rPr>
              <w:t>: щодня, крім вихідних днів, з 10.00 до 16.00, за адресою:  04071,  м. Київ, вул. Воздвиженська, 58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862B0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>Ознайомитись з майном можна</w:t>
            </w:r>
            <w:r w:rsidRPr="008862B0">
              <w:rPr>
                <w:i/>
                <w:sz w:val="20"/>
                <w:szCs w:val="20"/>
              </w:rPr>
              <w:t>: щодня, крім вихідних днів, з 10.00 до 16.00, за адресою:  04071,  м. Київ, вул. Воздвиженська, 58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3607" w:type="pct"/>
            <w:gridSpan w:val="4"/>
            <w:vAlign w:val="center"/>
          </w:tcPr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 Перші    відкриті   торги (аукціон)       – 02.06.2017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 Другі    відкриті   торги (аукціон)        – 21.06.2017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Треті  відкриті   торги (аукціон)         – 07.07.2017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Четверті відкриті   торги (аукціон)   – 25.07.2017</w:t>
            </w:r>
          </w:p>
          <w:p w:rsidR="000A3865" w:rsidRPr="008862B0" w:rsidRDefault="000A3865" w:rsidP="008604A6">
            <w:pPr>
              <w:rPr>
                <w:i/>
                <w:sz w:val="20"/>
                <w:szCs w:val="20"/>
              </w:rPr>
            </w:pP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862B0">
              <w:rPr>
                <w:sz w:val="20"/>
                <w:szCs w:val="20"/>
              </w:rPr>
              <w:t xml:space="preserve">організаторів </w:t>
            </w:r>
            <w:r w:rsidRPr="008862B0">
              <w:rPr>
                <w:bCs/>
                <w:sz w:val="20"/>
                <w:szCs w:val="20"/>
              </w:rPr>
              <w:t>торгів (</w:t>
            </w:r>
            <w:hyperlink r:id="rId22" w:history="1">
              <w:r w:rsidRPr="008862B0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862B0">
              <w:rPr>
                <w:sz w:val="20"/>
                <w:szCs w:val="20"/>
              </w:rPr>
              <w:t>)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3607" w:type="pct"/>
            <w:gridSpan w:val="4"/>
            <w:vAlign w:val="center"/>
          </w:tcPr>
          <w:p w:rsidR="000A3865" w:rsidRPr="008862B0" w:rsidRDefault="000A3865" w:rsidP="00CA578A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>Дата початку прийому заяв відповідає даті публікації оголошення про аукціон, кінцевий термін прийняття заяв: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 Перші    відкриті   торги (аукціон)       – 01.06.2017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 Другі    відкриті   торги (аукціон)        – 20.06.2017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Треті  відкриті   торги (аукціон)         – 06.07.2017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Четверті відкриті   торги (аукціон)   – 24.07.2017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</w:rPr>
            </w:pPr>
            <w:r w:rsidRPr="008862B0">
              <w:rPr>
                <w:sz w:val="20"/>
                <w:szCs w:val="20"/>
              </w:rPr>
              <w:t xml:space="preserve">Електронна адреса для доступу до </w:t>
            </w:r>
            <w:r w:rsidRPr="008862B0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3607" w:type="pct"/>
            <w:gridSpan w:val="4"/>
            <w:vAlign w:val="center"/>
          </w:tcPr>
          <w:p w:rsidR="000A3865" w:rsidRPr="008862B0" w:rsidRDefault="00F0074D" w:rsidP="008604A6">
            <w:pPr>
              <w:jc w:val="both"/>
              <w:rPr>
                <w:bCs/>
                <w:i/>
                <w:sz w:val="20"/>
                <w:szCs w:val="20"/>
              </w:rPr>
            </w:pPr>
            <w:hyperlink r:id="rId23" w:history="1">
              <w:r w:rsidR="000A3865" w:rsidRPr="008862B0">
                <w:rPr>
                  <w:rStyle w:val="a3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 Перші    відкриті   торги (аукціон)       –01.06.2017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 Другі    відкриті   торги (аукціон)        – 20.06.2017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Треті  відкриті   торги (аукціон)         – 06.07.2017</w:t>
            </w:r>
          </w:p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i/>
                <w:sz w:val="20"/>
                <w:szCs w:val="20"/>
              </w:rPr>
              <w:t xml:space="preserve"> Четверті відкриті   торги (аукціон)   – 24.07.2017</w:t>
            </w:r>
          </w:p>
          <w:p w:rsidR="000A3865" w:rsidRPr="008862B0" w:rsidRDefault="000A3865" w:rsidP="008604A6">
            <w:pPr>
              <w:jc w:val="both"/>
              <w:rPr>
                <w:bCs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393" w:type="pct"/>
            <w:gridSpan w:val="3"/>
            <w:vAlign w:val="center"/>
          </w:tcPr>
          <w:p w:rsidR="000A3865" w:rsidRPr="008862B0" w:rsidRDefault="000A3865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lang w:val="uk-UA"/>
              </w:rPr>
            </w:pPr>
            <w:r w:rsidRPr="008862B0">
              <w:rPr>
                <w:bCs/>
                <w:sz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607" w:type="pct"/>
            <w:gridSpan w:val="4"/>
          </w:tcPr>
          <w:p w:rsidR="000A3865" w:rsidRPr="008862B0" w:rsidRDefault="000A3865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0A3865" w:rsidRPr="008862B0" w:rsidTr="00CA4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7"/>
          </w:tcPr>
          <w:p w:rsidR="000A3865" w:rsidRPr="008862B0" w:rsidRDefault="000A3865" w:rsidP="008604A6">
            <w:pPr>
              <w:jc w:val="both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862B0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8862B0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862B0">
              <w:rPr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A3865" w:rsidRPr="008862B0" w:rsidRDefault="000A3865" w:rsidP="008604A6">
            <w:pPr>
              <w:jc w:val="both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0A3865" w:rsidRPr="008862B0" w:rsidRDefault="000A3865" w:rsidP="008604A6">
            <w:pPr>
              <w:jc w:val="both"/>
              <w:rPr>
                <w:sz w:val="20"/>
                <w:szCs w:val="20"/>
              </w:rPr>
            </w:pPr>
            <w:r w:rsidRPr="008862B0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0A3865" w:rsidRPr="00BD0916" w:rsidRDefault="000A3865" w:rsidP="00715FA9"/>
    <w:sectPr w:rsidR="000A3865" w:rsidRPr="00BD0916" w:rsidSect="00CA4867">
      <w:headerReference w:type="default" r:id="rId24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4D" w:rsidRDefault="00F0074D">
      <w:r>
        <w:separator/>
      </w:r>
    </w:p>
  </w:endnote>
  <w:endnote w:type="continuationSeparator" w:id="0">
    <w:p w:rsidR="00F0074D" w:rsidRDefault="00F0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4D" w:rsidRDefault="00F0074D">
      <w:r>
        <w:separator/>
      </w:r>
    </w:p>
  </w:footnote>
  <w:footnote w:type="continuationSeparator" w:id="0">
    <w:p w:rsidR="00F0074D" w:rsidRDefault="00F0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65" w:rsidRPr="004C3BC9" w:rsidRDefault="00F0074D" w:rsidP="006F54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86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2CAB"/>
    <w:multiLevelType w:val="hybridMultilevel"/>
    <w:tmpl w:val="5CBE373E"/>
    <w:lvl w:ilvl="0" w:tplc="F1F011E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A3865"/>
    <w:rsid w:val="000A78F3"/>
    <w:rsid w:val="000E45D3"/>
    <w:rsid w:val="00272791"/>
    <w:rsid w:val="002B4D37"/>
    <w:rsid w:val="0034040E"/>
    <w:rsid w:val="003634C9"/>
    <w:rsid w:val="003656B2"/>
    <w:rsid w:val="003829EB"/>
    <w:rsid w:val="003B1866"/>
    <w:rsid w:val="003E3224"/>
    <w:rsid w:val="003E3FE8"/>
    <w:rsid w:val="004B431F"/>
    <w:rsid w:val="004C3BC9"/>
    <w:rsid w:val="004C4AF0"/>
    <w:rsid w:val="00511A8C"/>
    <w:rsid w:val="00523868"/>
    <w:rsid w:val="00595A9E"/>
    <w:rsid w:val="005E2AE3"/>
    <w:rsid w:val="005F223C"/>
    <w:rsid w:val="00672BED"/>
    <w:rsid w:val="006F547C"/>
    <w:rsid w:val="00715FA9"/>
    <w:rsid w:val="0072009D"/>
    <w:rsid w:val="0076208D"/>
    <w:rsid w:val="007C07BE"/>
    <w:rsid w:val="0080165D"/>
    <w:rsid w:val="00802033"/>
    <w:rsid w:val="008604A6"/>
    <w:rsid w:val="008862B0"/>
    <w:rsid w:val="008C29DC"/>
    <w:rsid w:val="00977237"/>
    <w:rsid w:val="00996D54"/>
    <w:rsid w:val="009D0EDA"/>
    <w:rsid w:val="009D5B2D"/>
    <w:rsid w:val="00A130F3"/>
    <w:rsid w:val="00A602D8"/>
    <w:rsid w:val="00B13638"/>
    <w:rsid w:val="00B83A1A"/>
    <w:rsid w:val="00BC65C6"/>
    <w:rsid w:val="00BD0916"/>
    <w:rsid w:val="00C36CD2"/>
    <w:rsid w:val="00CA4867"/>
    <w:rsid w:val="00CA578A"/>
    <w:rsid w:val="00CB3842"/>
    <w:rsid w:val="00D51C88"/>
    <w:rsid w:val="00D7663A"/>
    <w:rsid w:val="00D94DE2"/>
    <w:rsid w:val="00DD1521"/>
    <w:rsid w:val="00E232CF"/>
    <w:rsid w:val="00E75C1D"/>
    <w:rsid w:val="00EA67B4"/>
    <w:rsid w:val="00EF215B"/>
    <w:rsid w:val="00F0074D"/>
    <w:rsid w:val="00F72FC2"/>
    <w:rsid w:val="00FB003F"/>
    <w:rsid w:val="00FB02E9"/>
    <w:rsid w:val="00FC3DF3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3E4A5-0E0F-4847-8378-CA932175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Звичайни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3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778" TargetMode="External"/><Relationship Id="rId13" Type="http://schemas.openxmlformats.org/officeDocument/2006/relationships/hyperlink" Target="http://torgi.fg.gov.ua/112849" TargetMode="External"/><Relationship Id="rId18" Type="http://schemas.openxmlformats.org/officeDocument/2006/relationships/hyperlink" Target="http://torgi.fg.gov.ua/12137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17777" TargetMode="External"/><Relationship Id="rId12" Type="http://schemas.openxmlformats.org/officeDocument/2006/relationships/hyperlink" Target="http://torgi.fg.gov.ua/112847" TargetMode="External"/><Relationship Id="rId17" Type="http://schemas.openxmlformats.org/officeDocument/2006/relationships/hyperlink" Target="http://torgi.fg.gov.ua/1191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fg.gov.ua/11285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960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112848" TargetMode="External"/><Relationship Id="rId23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117781" TargetMode="External"/><Relationship Id="rId19" Type="http://schemas.openxmlformats.org/officeDocument/2006/relationships/hyperlink" Target="https://sale.kif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7779" TargetMode="External"/><Relationship Id="rId14" Type="http://schemas.openxmlformats.org/officeDocument/2006/relationships/hyperlink" Target="http://torgi.fg.gov.ua/112850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ПАСПОРТ ВІДКРИТИХ ТОРГІВ (АУКЦІОНУ)</vt:lpstr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ВІДКРИТИХ ТОРГІВ (АУКЦІОНУ)</dc:title>
  <dc:subject/>
  <dc:creator>Антонюк Максим Леонідович</dc:creator>
  <cp:keywords/>
  <dc:description/>
  <cp:lastModifiedBy>Малишко Світлана Михайлівна</cp:lastModifiedBy>
  <cp:revision>2</cp:revision>
  <cp:lastPrinted>2017-05-17T12:56:00Z</cp:lastPrinted>
  <dcterms:created xsi:type="dcterms:W3CDTF">2017-05-22T12:57:00Z</dcterms:created>
  <dcterms:modified xsi:type="dcterms:W3CDTF">2017-05-22T12:57:00Z</dcterms:modified>
</cp:coreProperties>
</file>