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5" w:rsidRPr="00864D25" w:rsidRDefault="00864D25" w:rsidP="00864D2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 xml:space="preserve">ПАСПОРТ ВІДКРИТИХ ТОРГІВ (АУКЦІОНУ) </w:t>
      </w:r>
      <w:proofErr w:type="gramStart"/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З</w:t>
      </w:r>
      <w:proofErr w:type="gramEnd"/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 xml:space="preserve"> ПРОДАЖУ АКТИВІВ (МАЙНА) ПАТ «КБ «ФІНАНСОВА ІНІЦІАТИВА» 13.02.2020 Р.</w:t>
      </w:r>
    </w:p>
    <w:p w:rsidR="00864D25" w:rsidRPr="00864D25" w:rsidRDefault="00864D25" w:rsidP="0086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активів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(майна) ПАТ «КБ «ФІНАНСОВА ІНІ</w:t>
      </w:r>
      <w:proofErr w:type="gram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</w:t>
      </w:r>
      <w:proofErr w:type="gram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ІАТИВА»</w:t>
      </w:r>
    </w:p>
    <w:p w:rsidR="00864D25" w:rsidRPr="00864D25" w:rsidRDefault="00864D25" w:rsidP="00864D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Фонд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гарантування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вкладів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фізичних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осіб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повідомляє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відкритих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торгів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голандського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аукціону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з продажу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наступних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активів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</w:t>
      </w:r>
      <w:proofErr w:type="gram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іковуються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балансі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ПАТ «КБ «ФІНАНСОВА ІНІЦІАТИВА»</w:t>
      </w:r>
    </w:p>
    <w:p w:rsidR="00864D25" w:rsidRPr="00864D25" w:rsidRDefault="00864D25" w:rsidP="00864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</w:t>
      </w:r>
      <w:bookmarkStart w:id="0" w:name="_GoBack"/>
      <w:bookmarkEnd w:id="0"/>
    </w:p>
    <w:tbl>
      <w:tblPr>
        <w:tblW w:w="106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402"/>
        <w:gridCol w:w="2062"/>
        <w:gridCol w:w="2090"/>
        <w:gridCol w:w="2659"/>
      </w:tblGrid>
      <w:tr w:rsidR="00864D25" w:rsidRPr="00864D25" w:rsidTr="00864D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864D25" w:rsidRPr="00864D25" w:rsidTr="00864D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GL24N016306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Galant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2008 року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випуску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б`єм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двигуна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2,4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13.02.2020 - 244 109,88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122 054,98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http://torgi.fg.gov.ua/213454</w:t>
            </w:r>
          </w:p>
        </w:tc>
      </w:tr>
      <w:tr w:rsidR="00864D25" w:rsidRPr="00864D25" w:rsidTr="00864D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GL24N016307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Superb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Classic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2005 року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випуску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б`єм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двигуна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1,8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13.02.2020 - 161 971,18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80 985,60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http://torgi.fg.gov.ua/213455</w:t>
            </w:r>
          </w:p>
        </w:tc>
      </w:tr>
    </w:tbl>
    <w:p w:rsidR="00864D25" w:rsidRPr="00864D25" w:rsidRDefault="00864D25" w:rsidP="00864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44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15.01.2020 р.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 КАБІНЕТ - 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://torgi.fg.gov.ua/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prozorrosale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   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п`ять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такими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5" w:history="1">
              <w:r w:rsidRPr="00864D25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http://torgi.fg.gov.ua/prozorrosale</w:t>
              </w:r>
            </w:hyperlink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(один)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Ознайомитись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 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«КБ «ФІНАНСОВА ІНІ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ІАТИВА»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Коновальця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7/9, м.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03150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 особа банку з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Любич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 Анатолійович, (044)593-61-20, sale@finbank.com.ua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10-00 год.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з 16-15 год. до 17-00 год.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: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13.02.2020  </w:t>
            </w:r>
            <w:r w:rsidRPr="0086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864D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www.prozorro.sale</w:t>
              </w:r>
            </w:hyperlink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13.02.2020  </w:t>
            </w:r>
            <w:r w:rsidRPr="0086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ізніше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1066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       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http://www.fg.gov.ua/not-paying/liquidation/128-finansovaya-iniciativa/46184-asset-sell-id-254758</w:t>
            </w:r>
          </w:p>
        </w:tc>
      </w:tr>
    </w:tbl>
    <w:p w:rsidR="002B6F64" w:rsidRPr="00864D25" w:rsidRDefault="002B6F64">
      <w:pPr>
        <w:rPr>
          <w:rFonts w:ascii="Times New Roman" w:hAnsi="Times New Roman" w:cs="Times New Roman"/>
          <w:sz w:val="20"/>
          <w:szCs w:val="20"/>
        </w:rPr>
      </w:pPr>
    </w:p>
    <w:sectPr w:rsidR="002B6F64" w:rsidRPr="00864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5"/>
    <w:rsid w:val="002B6F64"/>
    <w:rsid w:val="008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Кострейчук</dc:creator>
  <cp:lastModifiedBy>Кострейчук </cp:lastModifiedBy>
  <cp:revision>1</cp:revision>
  <dcterms:created xsi:type="dcterms:W3CDTF">2020-01-17T14:18:00Z</dcterms:created>
  <dcterms:modified xsi:type="dcterms:W3CDTF">2020-01-17T14:21:00Z</dcterms:modified>
</cp:coreProperties>
</file>