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A9" w:rsidRPr="00EB661B" w:rsidRDefault="00715FA9" w:rsidP="00715FA9">
      <w:pPr>
        <w:jc w:val="center"/>
        <w:rPr>
          <w:b/>
        </w:rPr>
      </w:pPr>
      <w:r w:rsidRPr="00EB661B">
        <w:rPr>
          <w:b/>
        </w:rPr>
        <w:t>ПАСПОРТ ВІДКРИТИХ ТОРГІВ (АУКЦІОНУ)</w:t>
      </w:r>
    </w:p>
    <w:p w:rsidR="00715FA9" w:rsidRPr="00EB661B" w:rsidRDefault="00715FA9" w:rsidP="00715FA9">
      <w:pPr>
        <w:jc w:val="center"/>
      </w:pPr>
      <w:r w:rsidRPr="00EB661B">
        <w:rPr>
          <w:b/>
        </w:rPr>
        <w:t xml:space="preserve">з продажу </w:t>
      </w:r>
      <w:r w:rsidR="009B7AC0" w:rsidRPr="00EB661B">
        <w:rPr>
          <w:b/>
        </w:rPr>
        <w:t xml:space="preserve">нерухомого </w:t>
      </w:r>
      <w:r w:rsidR="00792525" w:rsidRPr="00EB661B">
        <w:rPr>
          <w:b/>
        </w:rPr>
        <w:t xml:space="preserve">майна </w:t>
      </w:r>
      <w:r w:rsidR="009B7AC0" w:rsidRPr="00EB661B">
        <w:rPr>
          <w:b/>
        </w:rPr>
        <w:t xml:space="preserve">та </w:t>
      </w:r>
      <w:r w:rsidR="00792525" w:rsidRPr="00EB661B">
        <w:rPr>
          <w:b/>
        </w:rPr>
        <w:t>основних засобів</w:t>
      </w:r>
      <w:r w:rsidR="009B7AC0" w:rsidRPr="00EB661B">
        <w:rPr>
          <w:b/>
        </w:rPr>
        <w:t>, які належать</w:t>
      </w:r>
      <w:r w:rsidRPr="00EB661B">
        <w:rPr>
          <w:b/>
        </w:rPr>
        <w:t xml:space="preserve"> </w:t>
      </w:r>
      <w:r w:rsidR="00AD2DFD" w:rsidRPr="00EB661B">
        <w:rPr>
          <w:b/>
        </w:rPr>
        <w:t xml:space="preserve">ПАТ </w:t>
      </w:r>
      <w:r w:rsidR="00B550A6" w:rsidRPr="00EB661B">
        <w:rPr>
          <w:b/>
        </w:rPr>
        <w:t xml:space="preserve">КБ </w:t>
      </w:r>
      <w:r w:rsidR="00AD2DFD" w:rsidRPr="00EB661B">
        <w:rPr>
          <w:b/>
        </w:rPr>
        <w:t>«</w:t>
      </w:r>
      <w:r w:rsidR="00B550A6" w:rsidRPr="00EB661B">
        <w:rPr>
          <w:b/>
        </w:rPr>
        <w:t>ЄВРОБ</w:t>
      </w:r>
      <w:r w:rsidR="00857ACD" w:rsidRPr="00EB661B">
        <w:rPr>
          <w:b/>
        </w:rPr>
        <w:t>АНК</w:t>
      </w:r>
      <w:r w:rsidR="00AD2DFD" w:rsidRPr="00EB661B">
        <w:rPr>
          <w:b/>
        </w:rPr>
        <w:t>»</w:t>
      </w:r>
      <w:r w:rsidR="009B7AC0" w:rsidRPr="00EB661B">
        <w:rPr>
          <w:b/>
        </w:rPr>
        <w:t xml:space="preserve"> та ПАТ «</w:t>
      </w:r>
      <w:r w:rsidR="00743CE3" w:rsidRPr="00EB661B">
        <w:rPr>
          <w:b/>
        </w:rPr>
        <w:t>БАНК МИХАЙЛІВСЬКИЙ</w:t>
      </w:r>
      <w:r w:rsidR="009B7AC0" w:rsidRPr="00EB661B">
        <w:rPr>
          <w:b/>
        </w:rPr>
        <w:t>»</w:t>
      </w:r>
    </w:p>
    <w:p w:rsidR="00715FA9" w:rsidRPr="00EB661B" w:rsidRDefault="00715FA9" w:rsidP="00715FA9">
      <w:pPr>
        <w:ind w:firstLine="708"/>
        <w:jc w:val="both"/>
      </w:pPr>
    </w:p>
    <w:p w:rsidR="00715FA9" w:rsidRPr="00EB661B" w:rsidRDefault="00715FA9" w:rsidP="00715FA9">
      <w:pPr>
        <w:ind w:firstLine="708"/>
        <w:jc w:val="both"/>
      </w:pPr>
      <w:r w:rsidRPr="00EB661B">
        <w:t>Фонд гарантування вкладів фізичних осіб повідомляє про проведення відкритих торгів (аукціону) з продажу наступн</w:t>
      </w:r>
      <w:r w:rsidR="009018A9" w:rsidRPr="00EB661B">
        <w:t>их активів</w:t>
      </w:r>
      <w:r w:rsidRPr="00EB661B">
        <w:t>, що облікову</w:t>
      </w:r>
      <w:r w:rsidR="00AA3CC4" w:rsidRPr="00EB661B">
        <w:t>ю</w:t>
      </w:r>
      <w:r w:rsidRPr="00EB661B">
        <w:t xml:space="preserve">ться на балансі </w:t>
      </w:r>
      <w:r w:rsidR="009B7AC0" w:rsidRPr="00EB661B">
        <w:t xml:space="preserve">ПАТ КБ «ЄВРОБАНК» та </w:t>
      </w:r>
      <w:r w:rsidR="00743CE3" w:rsidRPr="00EB661B">
        <w:t>ПАТ «БАНК МИХАЙЛІВСЬКИЙ»</w:t>
      </w:r>
      <w:r w:rsidRPr="00EB661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3118"/>
        <w:gridCol w:w="1407"/>
        <w:gridCol w:w="1409"/>
        <w:gridCol w:w="18"/>
        <w:gridCol w:w="1419"/>
        <w:gridCol w:w="1382"/>
      </w:tblGrid>
      <w:tr w:rsidR="006E20CE" w:rsidRPr="00EB661B" w:rsidTr="00E811BC">
        <w:trPr>
          <w:trHeight w:val="739"/>
        </w:trPr>
        <w:tc>
          <w:tcPr>
            <w:tcW w:w="559" w:type="pct"/>
            <w:tcBorders>
              <w:top w:val="single" w:sz="4" w:space="0" w:color="auto"/>
              <w:left w:val="single" w:sz="4" w:space="0" w:color="auto"/>
              <w:bottom w:val="single" w:sz="4" w:space="0" w:color="auto"/>
              <w:right w:val="single" w:sz="4" w:space="0" w:color="auto"/>
            </w:tcBorders>
            <w:vAlign w:val="center"/>
            <w:hideMark/>
          </w:tcPr>
          <w:p w:rsidR="006E20CE" w:rsidRPr="00EB661B" w:rsidRDefault="006E20CE" w:rsidP="00863636">
            <w:pPr>
              <w:spacing w:line="256" w:lineRule="auto"/>
              <w:jc w:val="center"/>
              <w:rPr>
                <w:b/>
              </w:rPr>
            </w:pPr>
            <w:r w:rsidRPr="00EB661B">
              <w:rPr>
                <w:b/>
                <w:bCs/>
                <w:bdr w:val="none" w:sz="0" w:space="0" w:color="auto" w:frame="1"/>
                <w:lang w:eastAsia="uk-UA"/>
              </w:rPr>
              <w:t>№ лоту</w:t>
            </w:r>
          </w:p>
        </w:tc>
        <w:tc>
          <w:tcPr>
            <w:tcW w:w="1582" w:type="pct"/>
            <w:tcBorders>
              <w:top w:val="single" w:sz="4" w:space="0" w:color="auto"/>
              <w:left w:val="single" w:sz="4" w:space="0" w:color="auto"/>
              <w:bottom w:val="single" w:sz="4" w:space="0" w:color="auto"/>
              <w:right w:val="single" w:sz="4" w:space="0" w:color="auto"/>
            </w:tcBorders>
            <w:vAlign w:val="center"/>
            <w:hideMark/>
          </w:tcPr>
          <w:p w:rsidR="006E20CE" w:rsidRPr="00EB661B" w:rsidRDefault="006E20CE" w:rsidP="00EF19F4">
            <w:pPr>
              <w:spacing w:line="256" w:lineRule="auto"/>
              <w:jc w:val="center"/>
              <w:rPr>
                <w:b/>
                <w:lang w:val="ru-RU"/>
              </w:rPr>
            </w:pPr>
            <w:r w:rsidRPr="00EB661B">
              <w:rPr>
                <w:b/>
                <w:bCs/>
                <w:bdr w:val="none" w:sz="0" w:space="0" w:color="auto" w:frame="1"/>
                <w:lang w:eastAsia="uk-UA"/>
              </w:rPr>
              <w:t>Найменування активу/</w:t>
            </w:r>
            <w:r w:rsidRPr="00EB661B">
              <w:rPr>
                <w:b/>
                <w:bCs/>
                <w:bdr w:val="none" w:sz="0" w:space="0" w:color="auto" w:frame="1"/>
                <w:lang w:val="ru-RU" w:eastAsia="uk-UA"/>
              </w:rPr>
              <w:t xml:space="preserve"> </w:t>
            </w:r>
            <w:r w:rsidRPr="00EB661B">
              <w:rPr>
                <w:b/>
                <w:bCs/>
                <w:bdr w:val="none" w:sz="0" w:space="0" w:color="auto" w:frame="1"/>
                <w:lang w:eastAsia="uk-UA"/>
              </w:rPr>
              <w:t>стислий опис активу та забезпечення</w:t>
            </w:r>
          </w:p>
        </w:tc>
        <w:tc>
          <w:tcPr>
            <w:tcW w:w="1438" w:type="pct"/>
            <w:gridSpan w:val="3"/>
            <w:tcBorders>
              <w:top w:val="single" w:sz="4" w:space="0" w:color="auto"/>
              <w:left w:val="single" w:sz="4" w:space="0" w:color="auto"/>
              <w:bottom w:val="single" w:sz="4" w:space="0" w:color="auto"/>
              <w:right w:val="single" w:sz="4" w:space="0" w:color="auto"/>
            </w:tcBorders>
          </w:tcPr>
          <w:p w:rsidR="006E20CE" w:rsidRPr="00EB661B" w:rsidRDefault="006E20CE" w:rsidP="0001533C">
            <w:pPr>
              <w:spacing w:line="256" w:lineRule="auto"/>
              <w:jc w:val="center"/>
              <w:rPr>
                <w:b/>
                <w:bCs/>
                <w:u w:val="single"/>
                <w:bdr w:val="none" w:sz="0" w:space="0" w:color="auto" w:frame="1"/>
                <w:lang w:eastAsia="uk-UA"/>
              </w:rPr>
            </w:pPr>
            <w:r w:rsidRPr="00EB661B">
              <w:rPr>
                <w:b/>
                <w:bCs/>
                <w:bdr w:val="none" w:sz="0" w:space="0" w:color="auto" w:frame="1"/>
                <w:lang w:eastAsia="uk-UA"/>
              </w:rPr>
              <w:t>Початкова (стартова) ціна (грн., з ПДВ)</w:t>
            </w:r>
          </w:p>
        </w:tc>
        <w:tc>
          <w:tcPr>
            <w:tcW w:w="720" w:type="pct"/>
            <w:tcBorders>
              <w:top w:val="single" w:sz="4" w:space="0" w:color="auto"/>
              <w:left w:val="single" w:sz="4" w:space="0" w:color="auto"/>
              <w:bottom w:val="single" w:sz="4" w:space="0" w:color="auto"/>
              <w:right w:val="single" w:sz="4" w:space="0" w:color="auto"/>
            </w:tcBorders>
          </w:tcPr>
          <w:p w:rsidR="006E20CE" w:rsidRPr="00EB661B" w:rsidRDefault="006E20CE" w:rsidP="00163209">
            <w:pPr>
              <w:spacing w:line="256" w:lineRule="auto"/>
              <w:jc w:val="center"/>
              <w:rPr>
                <w:b/>
                <w:bCs/>
                <w:bdr w:val="none" w:sz="0" w:space="0" w:color="auto" w:frame="1"/>
                <w:lang w:eastAsia="uk-UA"/>
              </w:rPr>
            </w:pPr>
            <w:r w:rsidRPr="00EB661B">
              <w:rPr>
                <w:b/>
                <w:bCs/>
                <w:bdr w:val="none" w:sz="0" w:space="0" w:color="auto" w:frame="1"/>
                <w:lang w:eastAsia="uk-UA"/>
              </w:rPr>
              <w:t>Мінімальна ціна (грн., з ПДВ)</w:t>
            </w:r>
          </w:p>
        </w:tc>
        <w:tc>
          <w:tcPr>
            <w:tcW w:w="701" w:type="pct"/>
            <w:tcBorders>
              <w:top w:val="single" w:sz="4" w:space="0" w:color="auto"/>
              <w:left w:val="single" w:sz="4" w:space="0" w:color="auto"/>
              <w:bottom w:val="single" w:sz="4" w:space="0" w:color="auto"/>
              <w:right w:val="single" w:sz="4" w:space="0" w:color="auto"/>
            </w:tcBorders>
            <w:vAlign w:val="center"/>
            <w:hideMark/>
          </w:tcPr>
          <w:p w:rsidR="006E20CE" w:rsidRPr="00EB661B" w:rsidRDefault="006E20CE" w:rsidP="00863636">
            <w:pPr>
              <w:spacing w:line="256" w:lineRule="auto"/>
              <w:jc w:val="center"/>
              <w:rPr>
                <w:b/>
                <w:bCs/>
                <w:bdr w:val="none" w:sz="0" w:space="0" w:color="auto" w:frame="1"/>
                <w:lang w:eastAsia="uk-UA"/>
              </w:rPr>
            </w:pPr>
            <w:r w:rsidRPr="00EB661B">
              <w:rPr>
                <w:b/>
                <w:bCs/>
                <w:bdr w:val="none" w:sz="0" w:space="0" w:color="auto" w:frame="1"/>
                <w:lang w:eastAsia="uk-UA"/>
              </w:rPr>
              <w:t xml:space="preserve">Публічний паспорт активу </w:t>
            </w:r>
            <w:r w:rsidRPr="00EB661B">
              <w:rPr>
                <w:b/>
                <w:bCs/>
                <w:i/>
                <w:bdr w:val="none" w:sz="0" w:space="0" w:color="auto" w:frame="1"/>
                <w:lang w:eastAsia="uk-UA"/>
              </w:rPr>
              <w:t>(посилання)</w:t>
            </w:r>
          </w:p>
        </w:tc>
      </w:tr>
      <w:tr w:rsidR="008A5E68" w:rsidRPr="00EB661B" w:rsidTr="008A5E68">
        <w:trPr>
          <w:trHeight w:val="739"/>
        </w:trPr>
        <w:tc>
          <w:tcPr>
            <w:tcW w:w="559" w:type="pct"/>
            <w:vMerge w:val="restart"/>
            <w:tcBorders>
              <w:top w:val="single" w:sz="4" w:space="0" w:color="auto"/>
              <w:left w:val="single" w:sz="4" w:space="0" w:color="auto"/>
              <w:right w:val="single" w:sz="4" w:space="0" w:color="auto"/>
            </w:tcBorders>
            <w:vAlign w:val="center"/>
          </w:tcPr>
          <w:p w:rsidR="008A5E68" w:rsidRPr="00EB661B" w:rsidRDefault="008A5E68" w:rsidP="00863636">
            <w:pPr>
              <w:spacing w:line="256" w:lineRule="auto"/>
              <w:jc w:val="center"/>
              <w:rPr>
                <w:bCs/>
                <w:bdr w:val="none" w:sz="0" w:space="0" w:color="auto" w:frame="1"/>
                <w:lang w:eastAsia="uk-UA"/>
              </w:rPr>
            </w:pPr>
            <w:r w:rsidRPr="00EB661B">
              <w:rPr>
                <w:bCs/>
                <w:bdr w:val="none" w:sz="0" w:space="0" w:color="auto" w:frame="1"/>
                <w:lang w:eastAsia="uk-UA"/>
              </w:rPr>
              <w:t>GL22N05951</w:t>
            </w:r>
          </w:p>
        </w:tc>
        <w:tc>
          <w:tcPr>
            <w:tcW w:w="1582" w:type="pct"/>
            <w:tcBorders>
              <w:top w:val="single" w:sz="4" w:space="0" w:color="auto"/>
              <w:left w:val="single" w:sz="4" w:space="0" w:color="auto"/>
              <w:bottom w:val="single" w:sz="4" w:space="0" w:color="auto"/>
              <w:right w:val="single" w:sz="4" w:space="0" w:color="auto"/>
            </w:tcBorders>
            <w:vAlign w:val="center"/>
          </w:tcPr>
          <w:p w:rsidR="008A5E68" w:rsidRPr="00EB661B" w:rsidRDefault="008A5E68" w:rsidP="0001533C">
            <w:pPr>
              <w:spacing w:line="256" w:lineRule="auto"/>
              <w:rPr>
                <w:bCs/>
                <w:bdr w:val="none" w:sz="0" w:space="0" w:color="auto" w:frame="1"/>
                <w:lang w:eastAsia="uk-UA"/>
              </w:rPr>
            </w:pPr>
            <w:r w:rsidRPr="00EB661B">
              <w:rPr>
                <w:bCs/>
                <w:bdr w:val="none" w:sz="0" w:space="0" w:color="auto" w:frame="1"/>
                <w:lang w:eastAsia="uk-UA"/>
              </w:rPr>
              <w:t xml:space="preserve">Група нежилих приміщень №2 (в літ Ж) загальною площею 504,6 </w:t>
            </w:r>
            <w:proofErr w:type="spellStart"/>
            <w:r w:rsidRPr="00EB661B">
              <w:rPr>
                <w:bCs/>
                <w:bdr w:val="none" w:sz="0" w:space="0" w:color="auto" w:frame="1"/>
                <w:lang w:eastAsia="uk-UA"/>
              </w:rPr>
              <w:t>кв.м</w:t>
            </w:r>
            <w:proofErr w:type="spellEnd"/>
            <w:r w:rsidRPr="00EB661B">
              <w:rPr>
                <w:bCs/>
                <w:bdr w:val="none" w:sz="0" w:space="0" w:color="auto" w:frame="1"/>
                <w:lang w:eastAsia="uk-UA"/>
              </w:rPr>
              <w:t>., що належить ПАТ КБ «ЄВРОБАНК», яке знаходиться за адресою: м. Київ, бульвар Тараса Шевченка, 35</w:t>
            </w:r>
          </w:p>
        </w:tc>
        <w:tc>
          <w:tcPr>
            <w:tcW w:w="714" w:type="pct"/>
            <w:vMerge w:val="restart"/>
            <w:tcBorders>
              <w:top w:val="single" w:sz="4" w:space="0" w:color="auto"/>
              <w:left w:val="single" w:sz="4" w:space="0" w:color="auto"/>
            </w:tcBorders>
          </w:tcPr>
          <w:p w:rsidR="008A5E68" w:rsidRPr="00EB661B" w:rsidRDefault="008A5E68" w:rsidP="00163209">
            <w:pPr>
              <w:spacing w:line="256" w:lineRule="auto"/>
              <w:jc w:val="center"/>
              <w:rPr>
                <w:bCs/>
                <w:u w:val="single"/>
                <w:bdr w:val="none" w:sz="0" w:space="0" w:color="auto" w:frame="1"/>
                <w:lang w:eastAsia="uk-UA"/>
              </w:rPr>
            </w:pPr>
            <w:r w:rsidRPr="00EB661B">
              <w:rPr>
                <w:color w:val="000000"/>
              </w:rPr>
              <w:t xml:space="preserve">На торгах – </w:t>
            </w:r>
            <w:r w:rsidRPr="00EB661B">
              <w:rPr>
                <w:color w:val="000000"/>
                <w:lang w:val="ru-RU"/>
              </w:rPr>
              <w:t>2</w:t>
            </w:r>
            <w:r w:rsidRPr="00EB661B">
              <w:rPr>
                <w:color w:val="000000"/>
              </w:rPr>
              <w:t>9.</w:t>
            </w:r>
            <w:r w:rsidRPr="00EB661B">
              <w:rPr>
                <w:color w:val="000000"/>
                <w:lang w:val="ru-RU"/>
              </w:rPr>
              <w:t>0</w:t>
            </w:r>
            <w:r w:rsidRPr="00EB661B">
              <w:rPr>
                <w:color w:val="000000"/>
              </w:rPr>
              <w:t>7.2019</w:t>
            </w:r>
          </w:p>
        </w:tc>
        <w:tc>
          <w:tcPr>
            <w:tcW w:w="715" w:type="pct"/>
            <w:vMerge w:val="restart"/>
            <w:tcBorders>
              <w:top w:val="single" w:sz="4" w:space="0" w:color="auto"/>
              <w:left w:val="single" w:sz="4" w:space="0" w:color="auto"/>
            </w:tcBorders>
          </w:tcPr>
          <w:p w:rsidR="008A5E68" w:rsidRPr="00EB661B" w:rsidRDefault="008A5E68" w:rsidP="00030735">
            <w:pPr>
              <w:spacing w:line="256" w:lineRule="auto"/>
              <w:jc w:val="center"/>
              <w:rPr>
                <w:bCs/>
                <w:bdr w:val="none" w:sz="0" w:space="0" w:color="auto" w:frame="1"/>
                <w:lang w:eastAsia="uk-UA"/>
              </w:rPr>
            </w:pPr>
            <w:r w:rsidRPr="00EB661B">
              <w:rPr>
                <w:bCs/>
                <w:bdr w:val="none" w:sz="0" w:space="0" w:color="auto" w:frame="1"/>
                <w:lang w:eastAsia="uk-UA"/>
              </w:rPr>
              <w:t>44 555 177,71</w:t>
            </w:r>
          </w:p>
        </w:tc>
        <w:tc>
          <w:tcPr>
            <w:tcW w:w="729" w:type="pct"/>
            <w:gridSpan w:val="2"/>
            <w:vMerge w:val="restart"/>
            <w:tcBorders>
              <w:top w:val="single" w:sz="4" w:space="0" w:color="auto"/>
              <w:left w:val="single" w:sz="4" w:space="0" w:color="auto"/>
            </w:tcBorders>
          </w:tcPr>
          <w:p w:rsidR="008A5E68" w:rsidRPr="00EB661B" w:rsidRDefault="008A5E68" w:rsidP="00030735">
            <w:pPr>
              <w:spacing w:line="256" w:lineRule="auto"/>
              <w:jc w:val="center"/>
              <w:rPr>
                <w:bCs/>
                <w:bdr w:val="none" w:sz="0" w:space="0" w:color="auto" w:frame="1"/>
                <w:lang w:eastAsia="uk-UA"/>
              </w:rPr>
            </w:pPr>
            <w:r w:rsidRPr="00EB661B">
              <w:rPr>
                <w:bCs/>
                <w:bdr w:val="none" w:sz="0" w:space="0" w:color="auto" w:frame="1"/>
                <w:lang w:eastAsia="uk-UA"/>
              </w:rPr>
              <w:t>8 911 035,53</w:t>
            </w:r>
          </w:p>
        </w:tc>
        <w:tc>
          <w:tcPr>
            <w:tcW w:w="701" w:type="pct"/>
            <w:vMerge w:val="restart"/>
            <w:tcBorders>
              <w:top w:val="single" w:sz="4" w:space="0" w:color="auto"/>
              <w:left w:val="single" w:sz="4" w:space="0" w:color="auto"/>
            </w:tcBorders>
          </w:tcPr>
          <w:p w:rsidR="008A5E68" w:rsidRPr="00EB661B" w:rsidRDefault="008A5E68" w:rsidP="00030735">
            <w:pPr>
              <w:spacing w:line="256" w:lineRule="auto"/>
              <w:jc w:val="center"/>
              <w:rPr>
                <w:bCs/>
                <w:u w:val="single"/>
                <w:bdr w:val="none" w:sz="0" w:space="0" w:color="auto" w:frame="1"/>
                <w:lang w:eastAsia="uk-UA"/>
              </w:rPr>
            </w:pPr>
            <w:r w:rsidRPr="00EB661B">
              <w:rPr>
                <w:bCs/>
                <w:u w:val="single"/>
                <w:bdr w:val="none" w:sz="0" w:space="0" w:color="auto" w:frame="1"/>
                <w:lang w:eastAsia="uk-UA"/>
              </w:rPr>
              <w:t>http://www.fg.gov.ua/not-paying/liquidation/175-pat-kb-yevrobank/43247-asset-sell-id-204087</w:t>
            </w:r>
          </w:p>
        </w:tc>
      </w:tr>
      <w:tr w:rsidR="008A5E68" w:rsidRPr="00EB661B" w:rsidTr="008A5E68">
        <w:trPr>
          <w:trHeight w:val="739"/>
        </w:trPr>
        <w:tc>
          <w:tcPr>
            <w:tcW w:w="559" w:type="pct"/>
            <w:vMerge/>
            <w:tcBorders>
              <w:left w:val="single" w:sz="4" w:space="0" w:color="auto"/>
              <w:right w:val="single" w:sz="4" w:space="0" w:color="auto"/>
            </w:tcBorders>
            <w:vAlign w:val="center"/>
          </w:tcPr>
          <w:p w:rsidR="008A5E68" w:rsidRPr="00EB661B" w:rsidRDefault="008A5E68" w:rsidP="00863636">
            <w:pPr>
              <w:spacing w:line="256" w:lineRule="auto"/>
              <w:jc w:val="center"/>
              <w:rPr>
                <w:bCs/>
                <w:bdr w:val="none" w:sz="0" w:space="0" w:color="auto" w:frame="1"/>
                <w:lang w:eastAsia="uk-UA"/>
              </w:rPr>
            </w:pPr>
          </w:p>
        </w:tc>
        <w:tc>
          <w:tcPr>
            <w:tcW w:w="1582" w:type="pct"/>
            <w:tcBorders>
              <w:top w:val="single" w:sz="4" w:space="0" w:color="auto"/>
              <w:left w:val="single" w:sz="4" w:space="0" w:color="auto"/>
              <w:bottom w:val="single" w:sz="4" w:space="0" w:color="auto"/>
              <w:right w:val="single" w:sz="4" w:space="0" w:color="auto"/>
            </w:tcBorders>
            <w:vAlign w:val="center"/>
          </w:tcPr>
          <w:p w:rsidR="008A5E68" w:rsidRPr="00EB661B" w:rsidRDefault="008A5E68" w:rsidP="0001533C">
            <w:pPr>
              <w:rPr>
                <w:color w:val="000000"/>
              </w:rPr>
            </w:pPr>
            <w:r w:rsidRPr="00EB661B">
              <w:rPr>
                <w:color w:val="000000"/>
                <w:lang w:eastAsia="uk-UA"/>
              </w:rPr>
              <w:t>Основні засоби, які належать ПАТ КБ «ЄВРОБАНК» в кількості 736 шт. згідно з переліком, що додається</w:t>
            </w:r>
          </w:p>
        </w:tc>
        <w:tc>
          <w:tcPr>
            <w:tcW w:w="714" w:type="pct"/>
            <w:vMerge/>
            <w:tcBorders>
              <w:left w:val="single" w:sz="4" w:space="0" w:color="auto"/>
            </w:tcBorders>
          </w:tcPr>
          <w:p w:rsidR="008A5E68" w:rsidRPr="00EB661B" w:rsidRDefault="008A5E68" w:rsidP="00863636">
            <w:pPr>
              <w:spacing w:line="256" w:lineRule="auto"/>
              <w:jc w:val="center"/>
              <w:rPr>
                <w:b/>
                <w:bCs/>
                <w:bdr w:val="none" w:sz="0" w:space="0" w:color="auto" w:frame="1"/>
                <w:lang w:eastAsia="uk-UA"/>
              </w:rPr>
            </w:pPr>
          </w:p>
        </w:tc>
        <w:tc>
          <w:tcPr>
            <w:tcW w:w="715" w:type="pct"/>
            <w:vMerge/>
            <w:tcBorders>
              <w:left w:val="single" w:sz="4" w:space="0" w:color="auto"/>
            </w:tcBorders>
          </w:tcPr>
          <w:p w:rsidR="008A5E68" w:rsidRPr="00EB661B" w:rsidRDefault="008A5E68" w:rsidP="00863636">
            <w:pPr>
              <w:spacing w:line="256" w:lineRule="auto"/>
              <w:jc w:val="center"/>
              <w:rPr>
                <w:b/>
                <w:bCs/>
                <w:bdr w:val="none" w:sz="0" w:space="0" w:color="auto" w:frame="1"/>
                <w:lang w:eastAsia="uk-UA"/>
              </w:rPr>
            </w:pPr>
          </w:p>
        </w:tc>
        <w:tc>
          <w:tcPr>
            <w:tcW w:w="729" w:type="pct"/>
            <w:gridSpan w:val="2"/>
            <w:vMerge/>
            <w:tcBorders>
              <w:left w:val="single" w:sz="4" w:space="0" w:color="auto"/>
            </w:tcBorders>
          </w:tcPr>
          <w:p w:rsidR="008A5E68" w:rsidRPr="00EB661B" w:rsidRDefault="008A5E68" w:rsidP="00863636">
            <w:pPr>
              <w:spacing w:line="256" w:lineRule="auto"/>
              <w:jc w:val="center"/>
              <w:rPr>
                <w:b/>
                <w:bCs/>
                <w:bdr w:val="none" w:sz="0" w:space="0" w:color="auto" w:frame="1"/>
                <w:lang w:eastAsia="uk-UA"/>
              </w:rPr>
            </w:pPr>
          </w:p>
        </w:tc>
        <w:tc>
          <w:tcPr>
            <w:tcW w:w="701" w:type="pct"/>
            <w:vMerge/>
            <w:tcBorders>
              <w:left w:val="single" w:sz="4" w:space="0" w:color="auto"/>
            </w:tcBorders>
          </w:tcPr>
          <w:p w:rsidR="008A5E68" w:rsidRPr="00EB661B" w:rsidRDefault="008A5E68" w:rsidP="00863636">
            <w:pPr>
              <w:spacing w:line="256" w:lineRule="auto"/>
              <w:jc w:val="center"/>
              <w:rPr>
                <w:b/>
                <w:bCs/>
                <w:bdr w:val="none" w:sz="0" w:space="0" w:color="auto" w:frame="1"/>
                <w:lang w:eastAsia="uk-UA"/>
              </w:rPr>
            </w:pPr>
          </w:p>
        </w:tc>
      </w:tr>
      <w:tr w:rsidR="008A5E68" w:rsidRPr="00EB661B" w:rsidTr="008A5E68">
        <w:trPr>
          <w:trHeight w:val="739"/>
        </w:trPr>
        <w:tc>
          <w:tcPr>
            <w:tcW w:w="559" w:type="pct"/>
            <w:vMerge w:val="restart"/>
            <w:tcBorders>
              <w:left w:val="single" w:sz="4" w:space="0" w:color="auto"/>
              <w:right w:val="single" w:sz="4" w:space="0" w:color="auto"/>
            </w:tcBorders>
            <w:vAlign w:val="center"/>
          </w:tcPr>
          <w:p w:rsidR="008A5E68" w:rsidRPr="00EB661B" w:rsidRDefault="008A5E68" w:rsidP="00863636">
            <w:pPr>
              <w:spacing w:line="256" w:lineRule="auto"/>
              <w:jc w:val="center"/>
              <w:rPr>
                <w:bCs/>
                <w:bdr w:val="none" w:sz="0" w:space="0" w:color="auto" w:frame="1"/>
                <w:lang w:eastAsia="uk-UA"/>
              </w:rPr>
            </w:pPr>
            <w:r w:rsidRPr="00EB661B">
              <w:rPr>
                <w:bCs/>
                <w:bdr w:val="none" w:sz="0" w:space="0" w:color="auto" w:frame="1"/>
                <w:lang w:eastAsia="uk-UA"/>
              </w:rPr>
              <w:t>GL22N05952</w:t>
            </w:r>
          </w:p>
        </w:tc>
        <w:tc>
          <w:tcPr>
            <w:tcW w:w="1582" w:type="pct"/>
            <w:tcBorders>
              <w:top w:val="single" w:sz="4" w:space="0" w:color="auto"/>
              <w:left w:val="single" w:sz="4" w:space="0" w:color="auto"/>
              <w:bottom w:val="single" w:sz="4" w:space="0" w:color="auto"/>
              <w:right w:val="single" w:sz="4" w:space="0" w:color="auto"/>
            </w:tcBorders>
            <w:vAlign w:val="center"/>
          </w:tcPr>
          <w:p w:rsidR="008A5E68" w:rsidRPr="00EB661B" w:rsidRDefault="008A5E68" w:rsidP="00E811BC">
            <w:pPr>
              <w:spacing w:line="256" w:lineRule="auto"/>
              <w:rPr>
                <w:bCs/>
                <w:bdr w:val="none" w:sz="0" w:space="0" w:color="auto" w:frame="1"/>
                <w:lang w:eastAsia="uk-UA"/>
              </w:rPr>
            </w:pPr>
            <w:r w:rsidRPr="00EB661B">
              <w:rPr>
                <w:bCs/>
                <w:bdr w:val="none" w:sz="0" w:space="0" w:color="auto" w:frame="1"/>
                <w:lang w:eastAsia="uk-UA"/>
              </w:rPr>
              <w:t xml:space="preserve">Група нежилих приміщень №3 (в літ Ж) загальною площею 529,1 </w:t>
            </w:r>
            <w:proofErr w:type="spellStart"/>
            <w:r w:rsidRPr="00EB661B">
              <w:rPr>
                <w:bCs/>
                <w:bdr w:val="none" w:sz="0" w:space="0" w:color="auto" w:frame="1"/>
                <w:lang w:eastAsia="uk-UA"/>
              </w:rPr>
              <w:t>кв.м</w:t>
            </w:r>
            <w:proofErr w:type="spellEnd"/>
            <w:r w:rsidRPr="00EB661B">
              <w:rPr>
                <w:bCs/>
                <w:bdr w:val="none" w:sz="0" w:space="0" w:color="auto" w:frame="1"/>
                <w:lang w:eastAsia="uk-UA"/>
              </w:rPr>
              <w:t>., що належить ПАТ КБ «ЄВРОБАНК», яке знаходиться за адресою: м. Київ, бульвар Тараса Шевченка, 35</w:t>
            </w:r>
          </w:p>
        </w:tc>
        <w:tc>
          <w:tcPr>
            <w:tcW w:w="714" w:type="pct"/>
            <w:vMerge w:val="restart"/>
            <w:tcBorders>
              <w:left w:val="single" w:sz="4" w:space="0" w:color="auto"/>
            </w:tcBorders>
          </w:tcPr>
          <w:p w:rsidR="008A5E68" w:rsidRPr="00EB661B" w:rsidRDefault="008A5E68" w:rsidP="00163209">
            <w:pPr>
              <w:spacing w:line="256" w:lineRule="auto"/>
              <w:jc w:val="center"/>
              <w:rPr>
                <w:bCs/>
                <w:u w:val="single"/>
                <w:bdr w:val="none" w:sz="0" w:space="0" w:color="auto" w:frame="1"/>
                <w:lang w:eastAsia="uk-UA"/>
              </w:rPr>
            </w:pPr>
            <w:r w:rsidRPr="00EB661B">
              <w:rPr>
                <w:color w:val="000000"/>
              </w:rPr>
              <w:t xml:space="preserve">На торгах – </w:t>
            </w:r>
            <w:r w:rsidRPr="00EB661B">
              <w:rPr>
                <w:color w:val="000000"/>
                <w:lang w:val="ru-RU"/>
              </w:rPr>
              <w:t>2</w:t>
            </w:r>
            <w:r w:rsidRPr="00EB661B">
              <w:rPr>
                <w:color w:val="000000"/>
              </w:rPr>
              <w:t>9.</w:t>
            </w:r>
            <w:r w:rsidRPr="00EB661B">
              <w:rPr>
                <w:color w:val="000000"/>
                <w:lang w:val="ru-RU"/>
              </w:rPr>
              <w:t>0</w:t>
            </w:r>
            <w:r w:rsidRPr="00EB661B">
              <w:rPr>
                <w:color w:val="000000"/>
              </w:rPr>
              <w:t>7.2019</w:t>
            </w:r>
          </w:p>
        </w:tc>
        <w:tc>
          <w:tcPr>
            <w:tcW w:w="715" w:type="pct"/>
            <w:vMerge w:val="restart"/>
            <w:tcBorders>
              <w:left w:val="single" w:sz="4" w:space="0" w:color="auto"/>
            </w:tcBorders>
          </w:tcPr>
          <w:p w:rsidR="008A5E68" w:rsidRPr="00EB661B" w:rsidRDefault="008A5E68" w:rsidP="00163209">
            <w:pPr>
              <w:jc w:val="center"/>
              <w:rPr>
                <w:color w:val="000000"/>
              </w:rPr>
            </w:pPr>
            <w:r w:rsidRPr="00EB661B">
              <w:rPr>
                <w:color w:val="000000"/>
              </w:rPr>
              <w:t>49 162 769,12</w:t>
            </w:r>
          </w:p>
        </w:tc>
        <w:tc>
          <w:tcPr>
            <w:tcW w:w="729" w:type="pct"/>
            <w:gridSpan w:val="2"/>
            <w:vMerge w:val="restart"/>
            <w:tcBorders>
              <w:left w:val="single" w:sz="4" w:space="0" w:color="auto"/>
            </w:tcBorders>
          </w:tcPr>
          <w:p w:rsidR="008A5E68" w:rsidRPr="00EB661B" w:rsidRDefault="008A5E68" w:rsidP="00163209">
            <w:pPr>
              <w:jc w:val="center"/>
              <w:rPr>
                <w:color w:val="000000"/>
              </w:rPr>
            </w:pPr>
            <w:r w:rsidRPr="00EB661B">
              <w:rPr>
                <w:color w:val="000000"/>
              </w:rPr>
              <w:t>9 832 553,69</w:t>
            </w:r>
          </w:p>
        </w:tc>
        <w:tc>
          <w:tcPr>
            <w:tcW w:w="701" w:type="pct"/>
            <w:vMerge/>
            <w:tcBorders>
              <w:left w:val="single" w:sz="4" w:space="0" w:color="auto"/>
            </w:tcBorders>
          </w:tcPr>
          <w:p w:rsidR="008A5E68" w:rsidRPr="00EB661B" w:rsidRDefault="008A5E68" w:rsidP="00863636">
            <w:pPr>
              <w:spacing w:line="256" w:lineRule="auto"/>
              <w:jc w:val="center"/>
              <w:rPr>
                <w:b/>
                <w:bCs/>
                <w:bdr w:val="none" w:sz="0" w:space="0" w:color="auto" w:frame="1"/>
                <w:lang w:eastAsia="uk-UA"/>
              </w:rPr>
            </w:pPr>
          </w:p>
        </w:tc>
      </w:tr>
      <w:tr w:rsidR="008A5E68" w:rsidRPr="00EB661B" w:rsidTr="008A5E68">
        <w:trPr>
          <w:trHeight w:val="739"/>
        </w:trPr>
        <w:tc>
          <w:tcPr>
            <w:tcW w:w="559" w:type="pct"/>
            <w:vMerge/>
            <w:tcBorders>
              <w:left w:val="single" w:sz="4" w:space="0" w:color="auto"/>
              <w:right w:val="single" w:sz="4" w:space="0" w:color="auto"/>
            </w:tcBorders>
            <w:vAlign w:val="center"/>
          </w:tcPr>
          <w:p w:rsidR="008A5E68" w:rsidRPr="00EB661B" w:rsidRDefault="008A5E68" w:rsidP="00863636">
            <w:pPr>
              <w:spacing w:line="256" w:lineRule="auto"/>
              <w:jc w:val="center"/>
              <w:rPr>
                <w:bCs/>
                <w:bdr w:val="none" w:sz="0" w:space="0" w:color="auto" w:frame="1"/>
                <w:lang w:eastAsia="uk-UA"/>
              </w:rPr>
            </w:pPr>
          </w:p>
        </w:tc>
        <w:tc>
          <w:tcPr>
            <w:tcW w:w="1582" w:type="pct"/>
            <w:tcBorders>
              <w:top w:val="single" w:sz="4" w:space="0" w:color="auto"/>
              <w:left w:val="single" w:sz="4" w:space="0" w:color="auto"/>
              <w:bottom w:val="single" w:sz="4" w:space="0" w:color="auto"/>
              <w:right w:val="single" w:sz="4" w:space="0" w:color="auto"/>
            </w:tcBorders>
            <w:vAlign w:val="center"/>
          </w:tcPr>
          <w:p w:rsidR="008A5E68" w:rsidRPr="00EB661B" w:rsidRDefault="008A5E68" w:rsidP="00E811BC">
            <w:pPr>
              <w:rPr>
                <w:color w:val="000000"/>
              </w:rPr>
            </w:pPr>
            <w:r w:rsidRPr="00EB661B">
              <w:rPr>
                <w:color w:val="000000"/>
                <w:lang w:eastAsia="uk-UA"/>
              </w:rPr>
              <w:t>Основні засоби, які належать ПАТ «БАНК МИХАЙЛІВСЬКИЙ» в кількості 521 шт. згідно з переліком, що додається</w:t>
            </w:r>
          </w:p>
        </w:tc>
        <w:tc>
          <w:tcPr>
            <w:tcW w:w="714" w:type="pct"/>
            <w:vMerge/>
            <w:tcBorders>
              <w:left w:val="single" w:sz="4" w:space="0" w:color="auto"/>
            </w:tcBorders>
          </w:tcPr>
          <w:p w:rsidR="008A5E68" w:rsidRPr="00EB661B" w:rsidRDefault="008A5E68" w:rsidP="00863636">
            <w:pPr>
              <w:spacing w:line="256" w:lineRule="auto"/>
              <w:jc w:val="center"/>
              <w:rPr>
                <w:b/>
                <w:bCs/>
                <w:bdr w:val="none" w:sz="0" w:space="0" w:color="auto" w:frame="1"/>
                <w:lang w:eastAsia="uk-UA"/>
              </w:rPr>
            </w:pPr>
          </w:p>
        </w:tc>
        <w:tc>
          <w:tcPr>
            <w:tcW w:w="715" w:type="pct"/>
            <w:vMerge/>
            <w:tcBorders>
              <w:left w:val="single" w:sz="4" w:space="0" w:color="auto"/>
            </w:tcBorders>
          </w:tcPr>
          <w:p w:rsidR="008A5E68" w:rsidRPr="00EB661B" w:rsidRDefault="008A5E68" w:rsidP="00863636">
            <w:pPr>
              <w:spacing w:line="256" w:lineRule="auto"/>
              <w:jc w:val="center"/>
              <w:rPr>
                <w:b/>
                <w:bCs/>
                <w:bdr w:val="none" w:sz="0" w:space="0" w:color="auto" w:frame="1"/>
                <w:lang w:eastAsia="uk-UA"/>
              </w:rPr>
            </w:pPr>
          </w:p>
        </w:tc>
        <w:tc>
          <w:tcPr>
            <w:tcW w:w="729" w:type="pct"/>
            <w:gridSpan w:val="2"/>
            <w:vMerge/>
            <w:tcBorders>
              <w:left w:val="single" w:sz="4" w:space="0" w:color="auto"/>
            </w:tcBorders>
          </w:tcPr>
          <w:p w:rsidR="008A5E68" w:rsidRPr="00EB661B" w:rsidRDefault="008A5E68" w:rsidP="00863636">
            <w:pPr>
              <w:spacing w:line="256" w:lineRule="auto"/>
              <w:jc w:val="center"/>
              <w:rPr>
                <w:b/>
                <w:bCs/>
                <w:bdr w:val="none" w:sz="0" w:space="0" w:color="auto" w:frame="1"/>
                <w:lang w:eastAsia="uk-UA"/>
              </w:rPr>
            </w:pPr>
          </w:p>
        </w:tc>
        <w:tc>
          <w:tcPr>
            <w:tcW w:w="701" w:type="pct"/>
            <w:vMerge/>
            <w:tcBorders>
              <w:left w:val="single" w:sz="4" w:space="0" w:color="auto"/>
            </w:tcBorders>
          </w:tcPr>
          <w:p w:rsidR="008A5E68" w:rsidRPr="00EB661B" w:rsidRDefault="008A5E68" w:rsidP="00863636">
            <w:pPr>
              <w:spacing w:line="256" w:lineRule="auto"/>
              <w:jc w:val="center"/>
              <w:rPr>
                <w:b/>
                <w:bCs/>
                <w:bdr w:val="none" w:sz="0" w:space="0" w:color="auto" w:frame="1"/>
                <w:lang w:eastAsia="uk-UA"/>
              </w:rPr>
            </w:pPr>
          </w:p>
        </w:tc>
      </w:tr>
    </w:tbl>
    <w:p w:rsidR="00715FA9" w:rsidRPr="00EB661B" w:rsidRDefault="00715FA9" w:rsidP="00715FA9">
      <w:pPr>
        <w:ind w:firstLine="708"/>
        <w:jc w:val="both"/>
      </w:pPr>
    </w:p>
    <w:p w:rsidR="006B692F" w:rsidRPr="00EB661B" w:rsidRDefault="006B692F" w:rsidP="00715FA9">
      <w:pPr>
        <w:ind w:firstLine="708"/>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5"/>
      </w:tblGrid>
      <w:tr w:rsidR="00715FA9" w:rsidRPr="00EB661B" w:rsidTr="009B7AC0">
        <w:trPr>
          <w:trHeight w:val="20"/>
        </w:trPr>
        <w:tc>
          <w:tcPr>
            <w:tcW w:w="3794" w:type="dxa"/>
            <w:shd w:val="clear" w:color="auto" w:fill="auto"/>
            <w:vAlign w:val="center"/>
          </w:tcPr>
          <w:p w:rsidR="00715FA9" w:rsidRPr="00EB661B" w:rsidRDefault="00715FA9" w:rsidP="00F47516">
            <w:pPr>
              <w:rPr>
                <w:bCs/>
              </w:rPr>
            </w:pPr>
            <w:r w:rsidRPr="00EB661B">
              <w:rPr>
                <w:bCs/>
              </w:rPr>
              <w:t xml:space="preserve">Номер та дата рішення виконавчої дирекції Фонду про затвердження умов продажу активів </w:t>
            </w:r>
          </w:p>
        </w:tc>
        <w:tc>
          <w:tcPr>
            <w:tcW w:w="6095" w:type="dxa"/>
            <w:shd w:val="clear" w:color="auto" w:fill="auto"/>
            <w:vAlign w:val="center"/>
          </w:tcPr>
          <w:p w:rsidR="00715FA9" w:rsidRPr="00EB661B" w:rsidRDefault="00296177" w:rsidP="00163209">
            <w:pPr>
              <w:jc w:val="both"/>
              <w:rPr>
                <w:b/>
              </w:rPr>
            </w:pPr>
            <w:r w:rsidRPr="00EB661B">
              <w:rPr>
                <w:b/>
                <w:bCs/>
              </w:rPr>
              <w:t xml:space="preserve"> №</w:t>
            </w:r>
            <w:r w:rsidR="00163209" w:rsidRPr="00EB661B">
              <w:rPr>
                <w:b/>
                <w:bCs/>
                <w:lang w:val="en-US"/>
              </w:rPr>
              <w:t>68</w:t>
            </w:r>
            <w:r w:rsidR="00A227C1" w:rsidRPr="00EB661B">
              <w:rPr>
                <w:b/>
                <w:bCs/>
              </w:rPr>
              <w:t xml:space="preserve"> від </w:t>
            </w:r>
            <w:r w:rsidR="00163209" w:rsidRPr="00EB661B">
              <w:rPr>
                <w:b/>
                <w:bCs/>
                <w:lang w:val="en-US"/>
              </w:rPr>
              <w:t>03</w:t>
            </w:r>
            <w:r w:rsidR="00A227C1" w:rsidRPr="00EB661B">
              <w:rPr>
                <w:b/>
                <w:bCs/>
              </w:rPr>
              <w:t>.</w:t>
            </w:r>
            <w:r w:rsidR="009C4533" w:rsidRPr="00EB661B">
              <w:rPr>
                <w:b/>
                <w:bCs/>
              </w:rPr>
              <w:t>0</w:t>
            </w:r>
            <w:r w:rsidR="00163209" w:rsidRPr="00EB661B">
              <w:rPr>
                <w:b/>
                <w:bCs/>
                <w:lang w:val="en-US"/>
              </w:rPr>
              <w:t>7</w:t>
            </w:r>
            <w:r w:rsidR="00A227C1" w:rsidRPr="00EB661B">
              <w:rPr>
                <w:b/>
                <w:bCs/>
              </w:rPr>
              <w:t>.201</w:t>
            </w:r>
            <w:r w:rsidR="009C4533" w:rsidRPr="00EB661B">
              <w:rPr>
                <w:b/>
                <w:bCs/>
              </w:rPr>
              <w:t>9</w:t>
            </w:r>
          </w:p>
        </w:tc>
      </w:tr>
      <w:tr w:rsidR="00715FA9" w:rsidRPr="00EB661B" w:rsidTr="009B7AC0">
        <w:trPr>
          <w:trHeight w:val="20"/>
        </w:trPr>
        <w:tc>
          <w:tcPr>
            <w:tcW w:w="3794" w:type="dxa"/>
            <w:shd w:val="clear" w:color="auto" w:fill="auto"/>
            <w:vAlign w:val="center"/>
          </w:tcPr>
          <w:p w:rsidR="00715FA9" w:rsidRPr="00EB661B" w:rsidRDefault="00715FA9" w:rsidP="00831407">
            <w:pPr>
              <w:rPr>
                <w:bCs/>
              </w:rPr>
            </w:pPr>
            <w:r w:rsidRPr="00EB661B">
              <w:rPr>
                <w:bCs/>
              </w:rPr>
              <w:t>Організатор відкритих торгів (аукціону)</w:t>
            </w:r>
          </w:p>
        </w:tc>
        <w:tc>
          <w:tcPr>
            <w:tcW w:w="6095" w:type="dxa"/>
            <w:shd w:val="clear" w:color="auto" w:fill="auto"/>
          </w:tcPr>
          <w:p w:rsidR="00715FA9" w:rsidRPr="00EB661B" w:rsidRDefault="005B3060" w:rsidP="005B3060">
            <w:r w:rsidRPr="00EB661B">
              <w:t>ЄДИНИЙ КАБІНЕТ -  Посилання на перелік організаторів відкритих торгів (аукціонів):</w:t>
            </w:r>
            <w:hyperlink r:id="rId8" w:history="1">
              <w:r w:rsidRPr="00EB661B">
                <w:rPr>
                  <w:rStyle w:val="a3"/>
                </w:rPr>
                <w:t>http://torgi.fg.gov.ua/prozorrosale##... [ http://torgi.fg.gov.ua/prozorrosale ] #      </w:t>
              </w:r>
            </w:hyperlink>
          </w:p>
        </w:tc>
      </w:tr>
      <w:tr w:rsidR="00715FA9" w:rsidRPr="00EB661B" w:rsidTr="009B7AC0">
        <w:trPr>
          <w:trHeight w:val="20"/>
        </w:trPr>
        <w:tc>
          <w:tcPr>
            <w:tcW w:w="3794" w:type="dxa"/>
            <w:shd w:val="clear" w:color="auto" w:fill="auto"/>
            <w:vAlign w:val="center"/>
          </w:tcPr>
          <w:p w:rsidR="00715FA9" w:rsidRPr="00EB661B" w:rsidRDefault="00715FA9" w:rsidP="00831407">
            <w:pPr>
              <w:rPr>
                <w:bCs/>
              </w:rPr>
            </w:pPr>
            <w:r w:rsidRPr="00EB661B">
              <w:rPr>
                <w:bCs/>
              </w:rPr>
              <w:t>Учасники торгів</w:t>
            </w:r>
          </w:p>
        </w:tc>
        <w:tc>
          <w:tcPr>
            <w:tcW w:w="6095" w:type="dxa"/>
            <w:shd w:val="clear" w:color="auto" w:fill="auto"/>
          </w:tcPr>
          <w:p w:rsidR="00D27391" w:rsidRPr="00EB661B" w:rsidRDefault="00D27391" w:rsidP="00831407">
            <w:pPr>
              <w:jc w:val="both"/>
              <w:rPr>
                <w:bCs/>
              </w:rPr>
            </w:pPr>
            <w:r w:rsidRPr="00EB661B">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715FA9" w:rsidRPr="00EB661B" w:rsidTr="009B7AC0">
        <w:trPr>
          <w:trHeight w:val="20"/>
        </w:trPr>
        <w:tc>
          <w:tcPr>
            <w:tcW w:w="3794" w:type="dxa"/>
            <w:shd w:val="clear" w:color="auto" w:fill="auto"/>
            <w:vAlign w:val="center"/>
          </w:tcPr>
          <w:p w:rsidR="00715FA9" w:rsidRPr="00EB661B" w:rsidRDefault="00715FA9" w:rsidP="00831407">
            <w:r w:rsidRPr="00EB661B">
              <w:t>Розмір гарантійного внеску</w:t>
            </w:r>
          </w:p>
        </w:tc>
        <w:tc>
          <w:tcPr>
            <w:tcW w:w="6095" w:type="dxa"/>
            <w:shd w:val="clear" w:color="auto" w:fill="auto"/>
          </w:tcPr>
          <w:p w:rsidR="00715FA9" w:rsidRPr="00EB661B" w:rsidRDefault="00F72968" w:rsidP="00792525">
            <w:pPr>
              <w:jc w:val="both"/>
              <w:rPr>
                <w:i/>
              </w:rPr>
            </w:pPr>
            <w:r w:rsidRPr="00EB661B">
              <w:rPr>
                <w:i/>
              </w:rPr>
              <w:t xml:space="preserve">5% </w:t>
            </w:r>
            <w:r w:rsidR="00D907DA" w:rsidRPr="00EB661B">
              <w:rPr>
                <w:i/>
              </w:rPr>
              <w:t xml:space="preserve">(п’ять) </w:t>
            </w:r>
            <w:r w:rsidR="00715FA9" w:rsidRPr="00EB661B">
              <w:rPr>
                <w:i/>
              </w:rPr>
              <w:t>від початкової ціни реалізації лота</w:t>
            </w:r>
          </w:p>
        </w:tc>
      </w:tr>
      <w:tr w:rsidR="00715FA9" w:rsidRPr="00EB661B" w:rsidTr="009B7AC0">
        <w:trPr>
          <w:trHeight w:val="20"/>
        </w:trPr>
        <w:tc>
          <w:tcPr>
            <w:tcW w:w="3794" w:type="dxa"/>
            <w:shd w:val="clear" w:color="auto" w:fill="auto"/>
            <w:vAlign w:val="center"/>
          </w:tcPr>
          <w:p w:rsidR="00715FA9" w:rsidRPr="00EB661B" w:rsidRDefault="00715FA9" w:rsidP="00831407">
            <w:r w:rsidRPr="00EB661B">
              <w:t>Вимоги щодо кількості зареєстрованих учасників відкритих торгів (аукціону)</w:t>
            </w:r>
          </w:p>
        </w:tc>
        <w:tc>
          <w:tcPr>
            <w:tcW w:w="6095" w:type="dxa"/>
            <w:shd w:val="clear" w:color="auto" w:fill="auto"/>
          </w:tcPr>
          <w:p w:rsidR="00715FA9" w:rsidRPr="00EB661B" w:rsidRDefault="00D907DA" w:rsidP="00831407">
            <w:pPr>
              <w:jc w:val="both"/>
            </w:pPr>
            <w:r w:rsidRPr="00EB661B">
              <w:t>Відкриті торги (аукціон) не можуть вважатися такими, що відбулися, у разі відсутності ставки.</w:t>
            </w:r>
          </w:p>
        </w:tc>
      </w:tr>
      <w:tr w:rsidR="00715FA9" w:rsidRPr="00EB661B" w:rsidTr="009B7AC0">
        <w:trPr>
          <w:trHeight w:val="20"/>
        </w:trPr>
        <w:tc>
          <w:tcPr>
            <w:tcW w:w="3794" w:type="dxa"/>
            <w:shd w:val="clear" w:color="auto" w:fill="auto"/>
            <w:vAlign w:val="center"/>
          </w:tcPr>
          <w:p w:rsidR="00715FA9" w:rsidRPr="00EB661B" w:rsidRDefault="00715FA9" w:rsidP="00831407">
            <w:r w:rsidRPr="00EB661B">
              <w:t xml:space="preserve">Банківські реквізити для </w:t>
            </w:r>
            <w:r w:rsidRPr="00EB661B">
              <w:rPr>
                <w:bCs/>
              </w:rPr>
              <w:t xml:space="preserve">перерахування </w:t>
            </w:r>
            <w:r w:rsidRPr="00EB661B">
              <w:t>гарантійного внеску</w:t>
            </w:r>
          </w:p>
        </w:tc>
        <w:tc>
          <w:tcPr>
            <w:tcW w:w="6095" w:type="dxa"/>
            <w:shd w:val="clear" w:color="auto" w:fill="auto"/>
            <w:vAlign w:val="center"/>
          </w:tcPr>
          <w:p w:rsidR="00715FA9" w:rsidRPr="00EB661B" w:rsidRDefault="00715FA9" w:rsidP="00831407">
            <w:pPr>
              <w:jc w:val="both"/>
            </w:pPr>
            <w:r w:rsidRPr="00EB661B">
              <w:t xml:space="preserve">Перерахування гарантійного внеску здійснюється на поточний рахунок  організатора </w:t>
            </w:r>
            <w:r w:rsidRPr="00EB661B">
              <w:rPr>
                <w:bCs/>
              </w:rPr>
              <w:t>відкритих торгів (аукціонів)</w:t>
            </w:r>
            <w:r w:rsidRPr="00EB661B">
              <w:t xml:space="preserve">, на електронному майданчику якого зареєструвався учасник. Інформація про банківські реквізити організаторів </w:t>
            </w:r>
            <w:r w:rsidRPr="00EB661B">
              <w:rPr>
                <w:bCs/>
              </w:rPr>
              <w:t>відкритих торгів (аукціонів)</w:t>
            </w:r>
            <w:r w:rsidRPr="00EB661B">
              <w:t xml:space="preserve"> розміщені за наступним посиланням:  </w:t>
            </w:r>
            <w:hyperlink r:id="rId9" w:history="1">
              <w:r w:rsidRPr="00EB661B">
                <w:rPr>
                  <w:rStyle w:val="a3"/>
                </w:rPr>
                <w:t>http://torgi.fg.gov.ua/prozorrosale</w:t>
              </w:r>
            </w:hyperlink>
          </w:p>
        </w:tc>
      </w:tr>
      <w:tr w:rsidR="00715FA9" w:rsidRPr="00EB661B" w:rsidTr="009B7AC0">
        <w:trPr>
          <w:trHeight w:val="20"/>
        </w:trPr>
        <w:tc>
          <w:tcPr>
            <w:tcW w:w="3794" w:type="dxa"/>
            <w:shd w:val="clear" w:color="auto" w:fill="auto"/>
            <w:vAlign w:val="center"/>
          </w:tcPr>
          <w:p w:rsidR="00715FA9" w:rsidRPr="00EB661B" w:rsidRDefault="00715FA9" w:rsidP="00831407">
            <w:r w:rsidRPr="00EB661B">
              <w:t>Крок аукціону</w:t>
            </w:r>
          </w:p>
        </w:tc>
        <w:tc>
          <w:tcPr>
            <w:tcW w:w="6095" w:type="dxa"/>
            <w:shd w:val="clear" w:color="auto" w:fill="auto"/>
          </w:tcPr>
          <w:p w:rsidR="00715FA9" w:rsidRPr="00EB661B" w:rsidRDefault="00715FA9" w:rsidP="00810328">
            <w:pPr>
              <w:jc w:val="both"/>
              <w:rPr>
                <w:i/>
              </w:rPr>
            </w:pPr>
            <w:r w:rsidRPr="00EB661B">
              <w:t>Крок аукціону</w:t>
            </w:r>
            <w:r w:rsidRPr="00EB661B">
              <w:rPr>
                <w:i/>
              </w:rPr>
              <w:t xml:space="preserve"> –</w:t>
            </w:r>
            <w:r w:rsidR="004A4886" w:rsidRPr="00EB661B">
              <w:rPr>
                <w:i/>
              </w:rPr>
              <w:t xml:space="preserve"> </w:t>
            </w:r>
            <w:r w:rsidR="00810328" w:rsidRPr="00EB661B">
              <w:rPr>
                <w:i/>
              </w:rPr>
              <w:t xml:space="preserve">не менше </w:t>
            </w:r>
            <w:r w:rsidR="004A4886" w:rsidRPr="00EB661B">
              <w:rPr>
                <w:i/>
              </w:rPr>
              <w:t>1%</w:t>
            </w:r>
            <w:r w:rsidR="00D907DA" w:rsidRPr="00EB661B">
              <w:rPr>
                <w:i/>
              </w:rPr>
              <w:t xml:space="preserve"> (один)</w:t>
            </w:r>
            <w:r w:rsidR="004A4886" w:rsidRPr="00EB661B">
              <w:rPr>
                <w:i/>
              </w:rPr>
              <w:t xml:space="preserve"> </w:t>
            </w:r>
            <w:r w:rsidRPr="00EB661B">
              <w:rPr>
                <w:i/>
              </w:rPr>
              <w:t>від початкової</w:t>
            </w:r>
            <w:r w:rsidR="00810328" w:rsidRPr="00EB661B">
              <w:rPr>
                <w:i/>
              </w:rPr>
              <w:t xml:space="preserve"> (стартової)</w:t>
            </w:r>
            <w:r w:rsidRPr="00EB661B">
              <w:rPr>
                <w:i/>
              </w:rPr>
              <w:t xml:space="preserve"> ціни лот</w:t>
            </w:r>
            <w:r w:rsidR="00810328" w:rsidRPr="00EB661B">
              <w:rPr>
                <w:i/>
              </w:rPr>
              <w:t>ів</w:t>
            </w:r>
            <w:r w:rsidRPr="00EB661B">
              <w:rPr>
                <w:i/>
              </w:rPr>
              <w:t xml:space="preserve"> </w:t>
            </w:r>
          </w:p>
        </w:tc>
      </w:tr>
      <w:tr w:rsidR="0034212E" w:rsidRPr="00EB661B" w:rsidTr="009B7AC0">
        <w:trPr>
          <w:trHeight w:val="20"/>
        </w:trPr>
        <w:tc>
          <w:tcPr>
            <w:tcW w:w="3794" w:type="dxa"/>
            <w:shd w:val="clear" w:color="auto" w:fill="auto"/>
            <w:vAlign w:val="center"/>
          </w:tcPr>
          <w:p w:rsidR="0034212E" w:rsidRPr="00EB661B" w:rsidRDefault="0034212E" w:rsidP="00D27391">
            <w:r w:rsidRPr="00EB661B">
              <w:rPr>
                <w:bCs/>
              </w:rPr>
              <w:lastRenderedPageBreak/>
              <w:t>Порядок ознайомлення з активом у кімнаті даних</w:t>
            </w:r>
          </w:p>
        </w:tc>
        <w:tc>
          <w:tcPr>
            <w:tcW w:w="6095" w:type="dxa"/>
            <w:shd w:val="clear" w:color="auto" w:fill="auto"/>
            <w:vAlign w:val="center"/>
          </w:tcPr>
          <w:p w:rsidR="0034212E" w:rsidRPr="00EB661B" w:rsidRDefault="0034212E" w:rsidP="0034212E">
            <w:pPr>
              <w:jc w:val="both"/>
            </w:pPr>
            <w:r w:rsidRPr="00EB661B">
              <w:t>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w:t>
            </w:r>
            <w:r w:rsidRPr="00EB661B">
              <w:rPr>
                <w:lang w:val="en-US"/>
              </w:rPr>
              <w:t>http</w:t>
            </w:r>
            <w:r w:rsidRPr="00EB661B">
              <w:t>:</w:t>
            </w:r>
            <w:proofErr w:type="spellStart"/>
            <w:r w:rsidRPr="00EB661B">
              <w:rPr>
                <w:lang w:val="en-US"/>
              </w:rPr>
              <w:t>torgi</w:t>
            </w:r>
            <w:proofErr w:type="spellEnd"/>
            <w:r w:rsidRPr="00EB661B">
              <w:t>.</w:t>
            </w:r>
            <w:proofErr w:type="spellStart"/>
            <w:r w:rsidRPr="00EB661B">
              <w:rPr>
                <w:lang w:val="en-US"/>
              </w:rPr>
              <w:t>fg</w:t>
            </w:r>
            <w:proofErr w:type="spellEnd"/>
            <w:r w:rsidRPr="00EB661B">
              <w:t>.</w:t>
            </w:r>
            <w:proofErr w:type="spellStart"/>
            <w:r w:rsidRPr="00EB661B">
              <w:rPr>
                <w:lang w:val="en-US"/>
              </w:rPr>
              <w:t>gov</w:t>
            </w:r>
            <w:proofErr w:type="spellEnd"/>
            <w:r w:rsidRPr="00EB661B">
              <w:t>.</w:t>
            </w:r>
            <w:proofErr w:type="spellStart"/>
            <w:r w:rsidRPr="00EB661B">
              <w:rPr>
                <w:lang w:val="en-US"/>
              </w:rPr>
              <w:t>ua</w:t>
            </w:r>
            <w:proofErr w:type="spellEnd"/>
            <w:r w:rsidRPr="00EB661B">
              <w:t>/</w:t>
            </w:r>
            <w:proofErr w:type="spellStart"/>
            <w:r w:rsidRPr="00EB661B">
              <w:rPr>
                <w:lang w:val="en-US"/>
              </w:rPr>
              <w:t>nda</w:t>
            </w:r>
            <w:proofErr w:type="spellEnd"/>
            <w:r w:rsidRPr="00EB661B">
              <w:t>). Заявки подаються в паперовому та електронному вигляді на наступні адреси:</w:t>
            </w:r>
          </w:p>
          <w:p w:rsidR="001F14ED" w:rsidRPr="00EB661B" w:rsidRDefault="0034212E" w:rsidP="0034212E">
            <w:pPr>
              <w:pStyle w:val="a8"/>
              <w:numPr>
                <w:ilvl w:val="0"/>
                <w:numId w:val="1"/>
              </w:numPr>
              <w:ind w:left="720"/>
              <w:jc w:val="both"/>
              <w:rPr>
                <w:rFonts w:ascii="Times New Roman" w:hAnsi="Times New Roman"/>
                <w:i/>
                <w:sz w:val="24"/>
                <w:szCs w:val="24"/>
              </w:rPr>
            </w:pPr>
            <w:r w:rsidRPr="00EB661B">
              <w:rPr>
                <w:rFonts w:ascii="Times New Roman" w:hAnsi="Times New Roman"/>
                <w:i/>
                <w:sz w:val="24"/>
                <w:szCs w:val="24"/>
              </w:rPr>
              <w:t xml:space="preserve">ФГВФО, 04053, </w:t>
            </w:r>
            <w:proofErr w:type="spellStart"/>
            <w:r w:rsidRPr="00EB661B">
              <w:rPr>
                <w:rFonts w:ascii="Times New Roman" w:hAnsi="Times New Roman"/>
                <w:i/>
                <w:sz w:val="24"/>
                <w:szCs w:val="24"/>
              </w:rPr>
              <w:t>м.Ки</w:t>
            </w:r>
            <w:bookmarkStart w:id="0" w:name="_GoBack"/>
            <w:bookmarkEnd w:id="0"/>
            <w:r w:rsidRPr="00EB661B">
              <w:rPr>
                <w:rFonts w:ascii="Times New Roman" w:hAnsi="Times New Roman"/>
                <w:i/>
                <w:sz w:val="24"/>
                <w:szCs w:val="24"/>
              </w:rPr>
              <w:t>їв</w:t>
            </w:r>
            <w:proofErr w:type="spellEnd"/>
            <w:r w:rsidRPr="00EB661B">
              <w:rPr>
                <w:rFonts w:ascii="Times New Roman" w:hAnsi="Times New Roman"/>
                <w:i/>
                <w:sz w:val="24"/>
                <w:szCs w:val="24"/>
              </w:rPr>
              <w:t xml:space="preserve">, вул. Січових Стрільців, будинок 17, </w:t>
            </w:r>
          </w:p>
          <w:p w:rsidR="0034212E" w:rsidRPr="00EB661B" w:rsidRDefault="0034212E" w:rsidP="001F14ED">
            <w:pPr>
              <w:pStyle w:val="a8"/>
              <w:jc w:val="both"/>
              <w:rPr>
                <w:rFonts w:ascii="Times New Roman" w:hAnsi="Times New Roman"/>
                <w:i/>
                <w:sz w:val="24"/>
                <w:szCs w:val="24"/>
              </w:rPr>
            </w:pPr>
            <w:r w:rsidRPr="00EB661B">
              <w:rPr>
                <w:rFonts w:ascii="Times New Roman" w:hAnsi="Times New Roman"/>
                <w:i/>
                <w:sz w:val="24"/>
                <w:szCs w:val="24"/>
              </w:rPr>
              <w:t xml:space="preserve">електронна пошта: </w:t>
            </w:r>
            <w:hyperlink r:id="rId10" w:history="1">
              <w:r w:rsidRPr="00EB661B">
                <w:rPr>
                  <w:rStyle w:val="a3"/>
                  <w:rFonts w:ascii="Times New Roman" w:hAnsi="Times New Roman"/>
                  <w:i/>
                  <w:sz w:val="24"/>
                  <w:szCs w:val="24"/>
                  <w:lang w:val="en-US"/>
                </w:rPr>
                <w:t>clo</w:t>
              </w:r>
              <w:r w:rsidRPr="00EB661B">
                <w:rPr>
                  <w:rStyle w:val="a3"/>
                  <w:rFonts w:ascii="Times New Roman" w:hAnsi="Times New Roman"/>
                  <w:i/>
                  <w:sz w:val="24"/>
                  <w:szCs w:val="24"/>
                  <w:lang w:val="ru-RU"/>
                </w:rPr>
                <w:t>@</w:t>
              </w:r>
              <w:r w:rsidRPr="00EB661B">
                <w:rPr>
                  <w:rStyle w:val="a3"/>
                  <w:rFonts w:ascii="Times New Roman" w:hAnsi="Times New Roman"/>
                  <w:i/>
                  <w:sz w:val="24"/>
                  <w:szCs w:val="24"/>
                  <w:lang w:val="en-US"/>
                </w:rPr>
                <w:t>fg</w:t>
              </w:r>
              <w:r w:rsidRPr="00EB661B">
                <w:rPr>
                  <w:rStyle w:val="a3"/>
                  <w:rFonts w:ascii="Times New Roman" w:hAnsi="Times New Roman"/>
                  <w:i/>
                  <w:sz w:val="24"/>
                  <w:szCs w:val="24"/>
                  <w:lang w:val="ru-RU"/>
                </w:rPr>
                <w:t>.</w:t>
              </w:r>
              <w:r w:rsidRPr="00EB661B">
                <w:rPr>
                  <w:rStyle w:val="a3"/>
                  <w:rFonts w:ascii="Times New Roman" w:hAnsi="Times New Roman"/>
                  <w:i/>
                  <w:sz w:val="24"/>
                  <w:szCs w:val="24"/>
                  <w:lang w:val="en-US"/>
                </w:rPr>
                <w:t>gov</w:t>
              </w:r>
              <w:r w:rsidRPr="00EB661B">
                <w:rPr>
                  <w:rStyle w:val="a3"/>
                  <w:rFonts w:ascii="Times New Roman" w:hAnsi="Times New Roman"/>
                  <w:i/>
                  <w:sz w:val="24"/>
                  <w:szCs w:val="24"/>
                  <w:lang w:val="ru-RU"/>
                </w:rPr>
                <w:t>.</w:t>
              </w:r>
              <w:proofErr w:type="spellStart"/>
              <w:r w:rsidRPr="00EB661B">
                <w:rPr>
                  <w:rStyle w:val="a3"/>
                  <w:rFonts w:ascii="Times New Roman" w:hAnsi="Times New Roman"/>
                  <w:i/>
                  <w:sz w:val="24"/>
                  <w:szCs w:val="24"/>
                  <w:lang w:val="en-US"/>
                </w:rPr>
                <w:t>ua</w:t>
              </w:r>
              <w:proofErr w:type="spellEnd"/>
            </w:hyperlink>
            <w:r w:rsidRPr="00EB661B">
              <w:rPr>
                <w:rFonts w:ascii="Times New Roman" w:hAnsi="Times New Roman"/>
                <w:i/>
                <w:sz w:val="24"/>
                <w:szCs w:val="24"/>
                <w:lang w:val="ru-RU"/>
              </w:rPr>
              <w:t>?</w:t>
            </w:r>
          </w:p>
          <w:p w:rsidR="001F14ED" w:rsidRPr="00EB661B" w:rsidRDefault="0034212E" w:rsidP="0034212E">
            <w:pPr>
              <w:pStyle w:val="a8"/>
              <w:numPr>
                <w:ilvl w:val="0"/>
                <w:numId w:val="1"/>
              </w:numPr>
              <w:ind w:left="720"/>
              <w:jc w:val="both"/>
              <w:rPr>
                <w:rFonts w:ascii="Times New Roman" w:hAnsi="Times New Roman"/>
                <w:i/>
                <w:sz w:val="24"/>
                <w:szCs w:val="24"/>
              </w:rPr>
            </w:pPr>
            <w:r w:rsidRPr="00EB661B">
              <w:rPr>
                <w:rFonts w:ascii="Times New Roman" w:hAnsi="Times New Roman"/>
                <w:i/>
                <w:sz w:val="24"/>
                <w:szCs w:val="24"/>
              </w:rPr>
              <w:t xml:space="preserve">ПАТ КБ «ЄВРОБАНК», 01032, бульвар Тараса Шевченка, буд. 35, </w:t>
            </w:r>
          </w:p>
          <w:p w:rsidR="0034212E" w:rsidRPr="00EB661B" w:rsidRDefault="0034212E" w:rsidP="001F14ED">
            <w:pPr>
              <w:pStyle w:val="a8"/>
              <w:jc w:val="both"/>
              <w:rPr>
                <w:rFonts w:ascii="Times New Roman" w:hAnsi="Times New Roman"/>
                <w:i/>
                <w:sz w:val="24"/>
                <w:szCs w:val="24"/>
              </w:rPr>
            </w:pPr>
            <w:r w:rsidRPr="00EB661B">
              <w:rPr>
                <w:rFonts w:ascii="Times New Roman" w:hAnsi="Times New Roman"/>
                <w:i/>
                <w:sz w:val="24"/>
                <w:szCs w:val="24"/>
              </w:rPr>
              <w:t xml:space="preserve">електронна пошта: </w:t>
            </w:r>
            <w:hyperlink r:id="rId11" w:history="1">
              <w:r w:rsidR="001D69ED" w:rsidRPr="00EB661B">
                <w:rPr>
                  <w:rStyle w:val="a3"/>
                  <w:rFonts w:ascii="Times New Roman" w:hAnsi="Times New Roman"/>
                  <w:i/>
                  <w:sz w:val="24"/>
                  <w:szCs w:val="24"/>
                  <w:lang w:val="en-US"/>
                </w:rPr>
                <w:t>b</w:t>
              </w:r>
              <w:r w:rsidR="001D69ED" w:rsidRPr="00EB661B">
                <w:rPr>
                  <w:rStyle w:val="a3"/>
                  <w:rFonts w:ascii="Times New Roman" w:hAnsi="Times New Roman"/>
                  <w:i/>
                  <w:sz w:val="24"/>
                  <w:szCs w:val="24"/>
                  <w:lang w:val="ru-RU"/>
                </w:rPr>
                <w:t>.</w:t>
              </w:r>
              <w:r w:rsidR="001D69ED" w:rsidRPr="00EB661B">
                <w:rPr>
                  <w:rStyle w:val="a3"/>
                  <w:rFonts w:ascii="Times New Roman" w:hAnsi="Times New Roman"/>
                  <w:i/>
                  <w:sz w:val="24"/>
                  <w:szCs w:val="24"/>
                  <w:lang w:val="en-US"/>
                </w:rPr>
                <w:t>petrenko</w:t>
              </w:r>
              <w:r w:rsidR="001D69ED" w:rsidRPr="00EB661B">
                <w:rPr>
                  <w:rStyle w:val="a3"/>
                  <w:rFonts w:ascii="Times New Roman" w:hAnsi="Times New Roman"/>
                  <w:i/>
                  <w:sz w:val="24"/>
                  <w:szCs w:val="24"/>
                  <w:lang w:val="ru-RU"/>
                </w:rPr>
                <w:t>@</w:t>
              </w:r>
              <w:r w:rsidR="001D69ED" w:rsidRPr="00EB661B">
                <w:rPr>
                  <w:rStyle w:val="a3"/>
                  <w:rFonts w:ascii="Times New Roman" w:hAnsi="Times New Roman"/>
                  <w:i/>
                  <w:sz w:val="24"/>
                  <w:szCs w:val="24"/>
                  <w:lang w:val="en-US"/>
                </w:rPr>
                <w:t>eurobank</w:t>
              </w:r>
              <w:r w:rsidR="001D69ED" w:rsidRPr="00EB661B">
                <w:rPr>
                  <w:rStyle w:val="a3"/>
                  <w:rFonts w:ascii="Times New Roman" w:hAnsi="Times New Roman"/>
                  <w:i/>
                  <w:sz w:val="24"/>
                  <w:szCs w:val="24"/>
                  <w:lang w:val="ru-RU"/>
                </w:rPr>
                <w:t>-</w:t>
              </w:r>
              <w:r w:rsidR="001D69ED" w:rsidRPr="00EB661B">
                <w:rPr>
                  <w:rStyle w:val="a3"/>
                  <w:rFonts w:ascii="Times New Roman" w:hAnsi="Times New Roman"/>
                  <w:i/>
                  <w:sz w:val="24"/>
                  <w:szCs w:val="24"/>
                  <w:lang w:val="en-US"/>
                </w:rPr>
                <w:t>ua</w:t>
              </w:r>
              <w:r w:rsidR="001D69ED" w:rsidRPr="00EB661B">
                <w:rPr>
                  <w:rStyle w:val="a3"/>
                  <w:rFonts w:ascii="Times New Roman" w:hAnsi="Times New Roman"/>
                  <w:i/>
                  <w:sz w:val="24"/>
                  <w:szCs w:val="24"/>
                  <w:lang w:val="ru-RU"/>
                </w:rPr>
                <w:t>.</w:t>
              </w:r>
              <w:r w:rsidR="001D69ED" w:rsidRPr="00EB661B">
                <w:rPr>
                  <w:rStyle w:val="a3"/>
                  <w:rFonts w:ascii="Times New Roman" w:hAnsi="Times New Roman"/>
                  <w:i/>
                  <w:sz w:val="24"/>
                  <w:szCs w:val="24"/>
                  <w:lang w:val="en-US"/>
                </w:rPr>
                <w:t>com</w:t>
              </w:r>
            </w:hyperlink>
            <w:r w:rsidRPr="00EB661B">
              <w:rPr>
                <w:rFonts w:ascii="Times New Roman" w:hAnsi="Times New Roman"/>
                <w:i/>
                <w:sz w:val="24"/>
                <w:szCs w:val="24"/>
                <w:lang w:val="ru-RU"/>
              </w:rPr>
              <w:t>.</w:t>
            </w:r>
          </w:p>
          <w:p w:rsidR="001F14ED" w:rsidRPr="00EB661B" w:rsidRDefault="001F14ED" w:rsidP="001F14ED">
            <w:pPr>
              <w:pStyle w:val="a8"/>
              <w:numPr>
                <w:ilvl w:val="0"/>
                <w:numId w:val="1"/>
              </w:numPr>
              <w:ind w:left="742"/>
              <w:jc w:val="both"/>
              <w:rPr>
                <w:rFonts w:ascii="Times New Roman" w:hAnsi="Times New Roman"/>
                <w:i/>
                <w:sz w:val="24"/>
                <w:szCs w:val="24"/>
                <w:lang w:val="ru-RU"/>
              </w:rPr>
            </w:pPr>
            <w:r w:rsidRPr="00EB661B">
              <w:rPr>
                <w:rFonts w:ascii="Times New Roman" w:hAnsi="Times New Roman"/>
                <w:i/>
                <w:sz w:val="24"/>
                <w:szCs w:val="24"/>
              </w:rPr>
              <w:t>ПАТ «БАНК МИХАЙЛІВСЬКИЙ</w:t>
            </w:r>
            <w:r w:rsidR="0030486E" w:rsidRPr="00EB661B">
              <w:rPr>
                <w:rFonts w:ascii="Times New Roman" w:hAnsi="Times New Roman"/>
                <w:i/>
                <w:sz w:val="24"/>
                <w:szCs w:val="24"/>
              </w:rPr>
              <w:t xml:space="preserve">, </w:t>
            </w:r>
            <w:r w:rsidRPr="00EB661B">
              <w:rPr>
                <w:rFonts w:ascii="Times New Roman" w:hAnsi="Times New Roman"/>
                <w:i/>
                <w:sz w:val="24"/>
                <w:szCs w:val="24"/>
              </w:rPr>
              <w:t>01032, бульвар Тараса Шевченка, буд. 35</w:t>
            </w:r>
            <w:r w:rsidR="0030486E" w:rsidRPr="00EB661B">
              <w:rPr>
                <w:rFonts w:ascii="Times New Roman" w:hAnsi="Times New Roman"/>
                <w:i/>
                <w:sz w:val="24"/>
                <w:szCs w:val="24"/>
                <w:lang w:val="ru-RU"/>
              </w:rPr>
              <w:t xml:space="preserve">, </w:t>
            </w:r>
          </w:p>
          <w:p w:rsidR="001D69ED" w:rsidRPr="00EB661B" w:rsidRDefault="0030486E" w:rsidP="001F14ED">
            <w:pPr>
              <w:pStyle w:val="a8"/>
              <w:ind w:left="742"/>
              <w:jc w:val="both"/>
              <w:rPr>
                <w:rFonts w:ascii="Times New Roman" w:hAnsi="Times New Roman"/>
                <w:i/>
                <w:sz w:val="24"/>
                <w:szCs w:val="24"/>
                <w:lang w:val="ru-RU"/>
              </w:rPr>
            </w:pPr>
            <w:r w:rsidRPr="00EB661B">
              <w:rPr>
                <w:rFonts w:ascii="Times New Roman" w:hAnsi="Times New Roman"/>
                <w:i/>
                <w:sz w:val="24"/>
                <w:szCs w:val="24"/>
              </w:rPr>
              <w:t>Електронна скринька:</w:t>
            </w:r>
            <w:r w:rsidR="00AF3382" w:rsidRPr="00EB661B">
              <w:rPr>
                <w:rFonts w:ascii="Times New Roman" w:hAnsi="Times New Roman"/>
                <w:sz w:val="24"/>
                <w:szCs w:val="24"/>
              </w:rPr>
              <w:t xml:space="preserve"> </w:t>
            </w:r>
            <w:r w:rsidR="00AF3382" w:rsidRPr="00EB661B">
              <w:rPr>
                <w:rFonts w:ascii="Times New Roman" w:hAnsi="Times New Roman"/>
                <w:i/>
                <w:sz w:val="24"/>
                <w:szCs w:val="24"/>
              </w:rPr>
              <w:t>I.Kravchuk@MBank.kiev.ua</w:t>
            </w:r>
            <w:r w:rsidRPr="00EB661B">
              <w:rPr>
                <w:rFonts w:ascii="Times New Roman" w:hAnsi="Times New Roman"/>
                <w:i/>
                <w:sz w:val="24"/>
                <w:szCs w:val="24"/>
              </w:rPr>
              <w:t xml:space="preserve"> </w:t>
            </w:r>
          </w:p>
        </w:tc>
      </w:tr>
      <w:tr w:rsidR="0034212E" w:rsidRPr="00EB661B" w:rsidTr="009B7AC0">
        <w:trPr>
          <w:trHeight w:val="20"/>
        </w:trPr>
        <w:tc>
          <w:tcPr>
            <w:tcW w:w="3794" w:type="dxa"/>
            <w:shd w:val="clear" w:color="auto" w:fill="auto"/>
            <w:vAlign w:val="center"/>
          </w:tcPr>
          <w:p w:rsidR="0034212E" w:rsidRPr="00EB661B" w:rsidRDefault="0034212E" w:rsidP="00D27391">
            <w:pPr>
              <w:rPr>
                <w:bCs/>
                <w:shd w:val="clear" w:color="auto" w:fill="FFFFFF"/>
              </w:rPr>
            </w:pPr>
            <w:r w:rsidRPr="00EB661B">
              <w:rPr>
                <w:bCs/>
                <w:shd w:val="clear" w:color="auto" w:fill="FFFFFF"/>
              </w:rPr>
              <w:t>Контактна особа банку з питань ознайомлення з активом</w:t>
            </w:r>
          </w:p>
        </w:tc>
        <w:tc>
          <w:tcPr>
            <w:tcW w:w="6095" w:type="dxa"/>
            <w:shd w:val="clear" w:color="auto" w:fill="auto"/>
          </w:tcPr>
          <w:p w:rsidR="0034212E" w:rsidRPr="00EB661B" w:rsidRDefault="0034212E" w:rsidP="0034212E">
            <w:pPr>
              <w:jc w:val="both"/>
              <w:rPr>
                <w:i/>
              </w:rPr>
            </w:pPr>
            <w:r w:rsidRPr="00EB661B">
              <w:rPr>
                <w:i/>
              </w:rPr>
              <w:t xml:space="preserve">Петренко Богдан Володимирович, </w:t>
            </w:r>
          </w:p>
          <w:p w:rsidR="0034212E" w:rsidRPr="00EB661B" w:rsidRDefault="0034212E" w:rsidP="0034212E">
            <w:pPr>
              <w:jc w:val="both"/>
              <w:rPr>
                <w:i/>
              </w:rPr>
            </w:pPr>
            <w:r w:rsidRPr="00EB661B">
              <w:rPr>
                <w:i/>
              </w:rPr>
              <w:t xml:space="preserve">Тел.: 044-585-44-26, </w:t>
            </w:r>
          </w:p>
          <w:p w:rsidR="0034212E" w:rsidRPr="00EB661B" w:rsidRDefault="0034212E" w:rsidP="0034212E">
            <w:pPr>
              <w:jc w:val="both"/>
              <w:rPr>
                <w:i/>
              </w:rPr>
            </w:pPr>
            <w:r w:rsidRPr="00EB661B">
              <w:rPr>
                <w:i/>
              </w:rPr>
              <w:t>Адреса: ПАТ КБ «ЄВРОБАНК», 01032, бульвар Тараса Шевченка, буд. 35,</w:t>
            </w:r>
          </w:p>
          <w:p w:rsidR="0034212E" w:rsidRPr="00EB661B" w:rsidRDefault="0034212E" w:rsidP="0034212E">
            <w:pPr>
              <w:jc w:val="both"/>
              <w:rPr>
                <w:i/>
              </w:rPr>
            </w:pPr>
            <w:r w:rsidRPr="00EB661B">
              <w:rPr>
                <w:i/>
              </w:rPr>
              <w:t xml:space="preserve">Електронна скринька: </w:t>
            </w:r>
            <w:hyperlink r:id="rId12" w:history="1">
              <w:r w:rsidR="001D69ED" w:rsidRPr="00EB661B">
                <w:rPr>
                  <w:rStyle w:val="a3"/>
                  <w:i/>
                  <w:color w:val="auto"/>
                  <w:lang w:val="en-US"/>
                </w:rPr>
                <w:t>b</w:t>
              </w:r>
              <w:r w:rsidR="001D69ED" w:rsidRPr="00EB661B">
                <w:rPr>
                  <w:rStyle w:val="a3"/>
                  <w:i/>
                  <w:color w:val="auto"/>
                </w:rPr>
                <w:t>.</w:t>
              </w:r>
              <w:r w:rsidR="001D69ED" w:rsidRPr="00EB661B">
                <w:rPr>
                  <w:rStyle w:val="a3"/>
                  <w:i/>
                  <w:color w:val="auto"/>
                  <w:lang w:val="en-US"/>
                </w:rPr>
                <w:t>petrenko</w:t>
              </w:r>
              <w:r w:rsidR="001D69ED" w:rsidRPr="00EB661B">
                <w:rPr>
                  <w:rStyle w:val="a3"/>
                  <w:i/>
                  <w:color w:val="auto"/>
                </w:rPr>
                <w:t>@</w:t>
              </w:r>
              <w:r w:rsidR="001D69ED" w:rsidRPr="00EB661B">
                <w:rPr>
                  <w:rStyle w:val="a3"/>
                  <w:i/>
                  <w:color w:val="auto"/>
                  <w:lang w:val="en-US"/>
                </w:rPr>
                <w:t>eurobank</w:t>
              </w:r>
              <w:r w:rsidR="001D69ED" w:rsidRPr="00EB661B">
                <w:rPr>
                  <w:rStyle w:val="a3"/>
                  <w:i/>
                  <w:color w:val="auto"/>
                </w:rPr>
                <w:t>-</w:t>
              </w:r>
              <w:r w:rsidR="001D69ED" w:rsidRPr="00EB661B">
                <w:rPr>
                  <w:rStyle w:val="a3"/>
                  <w:i/>
                  <w:color w:val="auto"/>
                  <w:lang w:val="en-US"/>
                </w:rPr>
                <w:t>ua</w:t>
              </w:r>
              <w:r w:rsidR="001D69ED" w:rsidRPr="00EB661B">
                <w:rPr>
                  <w:rStyle w:val="a3"/>
                  <w:i/>
                  <w:color w:val="auto"/>
                </w:rPr>
                <w:t>.</w:t>
              </w:r>
              <w:r w:rsidR="001D69ED" w:rsidRPr="00EB661B">
                <w:rPr>
                  <w:rStyle w:val="a3"/>
                  <w:i/>
                  <w:color w:val="auto"/>
                  <w:lang w:val="en-US"/>
                </w:rPr>
                <w:t>com</w:t>
              </w:r>
            </w:hyperlink>
          </w:p>
          <w:p w:rsidR="0030486E" w:rsidRPr="00EB661B" w:rsidRDefault="0030486E" w:rsidP="0034212E">
            <w:pPr>
              <w:jc w:val="both"/>
              <w:rPr>
                <w:i/>
                <w:lang w:val="ru-RU"/>
              </w:rPr>
            </w:pPr>
          </w:p>
          <w:p w:rsidR="001F14ED" w:rsidRPr="00EB661B" w:rsidRDefault="001F14ED" w:rsidP="0034212E">
            <w:pPr>
              <w:jc w:val="both"/>
              <w:rPr>
                <w:i/>
                <w:lang w:val="ru-RU"/>
              </w:rPr>
            </w:pPr>
            <w:r w:rsidRPr="00EB661B">
              <w:rPr>
                <w:i/>
              </w:rPr>
              <w:t>ПАТ «БАНК МИХАЙЛІВСЬКИЙ</w:t>
            </w:r>
          </w:p>
          <w:p w:rsidR="00AF3382" w:rsidRPr="00EB661B" w:rsidRDefault="00AF3382" w:rsidP="00AF3382">
            <w:pPr>
              <w:jc w:val="both"/>
              <w:rPr>
                <w:i/>
                <w:lang w:val="ru-RU"/>
              </w:rPr>
            </w:pPr>
            <w:r w:rsidRPr="00EB661B">
              <w:rPr>
                <w:i/>
                <w:lang w:val="ru-RU"/>
              </w:rPr>
              <w:t xml:space="preserve">Кравчук </w:t>
            </w:r>
            <w:proofErr w:type="spellStart"/>
            <w:r w:rsidRPr="00EB661B">
              <w:rPr>
                <w:i/>
                <w:lang w:val="ru-RU"/>
              </w:rPr>
              <w:t>Ірина</w:t>
            </w:r>
            <w:proofErr w:type="spellEnd"/>
            <w:r w:rsidRPr="00EB661B">
              <w:rPr>
                <w:i/>
                <w:lang w:val="ru-RU"/>
              </w:rPr>
              <w:t xml:space="preserve"> </w:t>
            </w:r>
            <w:proofErr w:type="spellStart"/>
            <w:r w:rsidRPr="00EB661B">
              <w:rPr>
                <w:i/>
                <w:lang w:val="ru-RU"/>
              </w:rPr>
              <w:t>Федорівна</w:t>
            </w:r>
            <w:proofErr w:type="spellEnd"/>
            <w:r w:rsidRPr="00EB661B">
              <w:rPr>
                <w:i/>
                <w:lang w:val="ru-RU"/>
              </w:rPr>
              <w:t xml:space="preserve">, </w:t>
            </w:r>
          </w:p>
          <w:p w:rsidR="00AF3382" w:rsidRPr="00EB661B" w:rsidRDefault="00AF3382" w:rsidP="00AF3382">
            <w:pPr>
              <w:jc w:val="both"/>
              <w:rPr>
                <w:i/>
                <w:lang w:val="ru-RU"/>
              </w:rPr>
            </w:pPr>
            <w:r w:rsidRPr="00EB661B">
              <w:rPr>
                <w:i/>
                <w:lang w:val="ru-RU"/>
              </w:rPr>
              <w:t>телефон (066) 508-32-75</w:t>
            </w:r>
          </w:p>
          <w:p w:rsidR="00AF3382" w:rsidRPr="00EB661B" w:rsidRDefault="00AF3382" w:rsidP="00AF3382">
            <w:pPr>
              <w:jc w:val="both"/>
              <w:rPr>
                <w:i/>
                <w:lang w:val="ru-RU"/>
              </w:rPr>
            </w:pPr>
            <w:r w:rsidRPr="00EB661B">
              <w:rPr>
                <w:i/>
                <w:lang w:val="ru-RU"/>
              </w:rPr>
              <w:t xml:space="preserve">м. </w:t>
            </w:r>
            <w:proofErr w:type="spellStart"/>
            <w:r w:rsidRPr="00EB661B">
              <w:rPr>
                <w:i/>
                <w:lang w:val="ru-RU"/>
              </w:rPr>
              <w:t>Київ</w:t>
            </w:r>
            <w:proofErr w:type="spellEnd"/>
            <w:r w:rsidRPr="00EB661B">
              <w:rPr>
                <w:i/>
                <w:lang w:val="ru-RU"/>
              </w:rPr>
              <w:t xml:space="preserve">, бул. </w:t>
            </w:r>
            <w:proofErr w:type="spellStart"/>
            <w:r w:rsidRPr="00EB661B">
              <w:rPr>
                <w:i/>
                <w:lang w:val="ru-RU"/>
              </w:rPr>
              <w:t>Т.Шевченка</w:t>
            </w:r>
            <w:proofErr w:type="spellEnd"/>
            <w:r w:rsidRPr="00EB661B">
              <w:rPr>
                <w:i/>
                <w:lang w:val="ru-RU"/>
              </w:rPr>
              <w:t>, 35</w:t>
            </w:r>
          </w:p>
          <w:p w:rsidR="00AF3382" w:rsidRPr="00EB661B" w:rsidRDefault="00AF3382" w:rsidP="00AF3382">
            <w:pPr>
              <w:jc w:val="both"/>
              <w:rPr>
                <w:i/>
                <w:lang w:val="en-US"/>
              </w:rPr>
            </w:pPr>
            <w:r w:rsidRPr="00EB661B">
              <w:rPr>
                <w:i/>
                <w:lang w:val="en-US"/>
              </w:rPr>
              <w:t>I.Kravchuk@MBank.kiev.ua</w:t>
            </w:r>
          </w:p>
          <w:p w:rsidR="001D69ED" w:rsidRPr="00EB661B" w:rsidRDefault="0030486E" w:rsidP="0034212E">
            <w:pPr>
              <w:jc w:val="both"/>
              <w:rPr>
                <w:i/>
              </w:rPr>
            </w:pPr>
            <w:r w:rsidRPr="00EB661B">
              <w:rPr>
                <w:i/>
                <w:lang w:val="ru-RU"/>
              </w:rPr>
              <w:t xml:space="preserve"> </w:t>
            </w:r>
          </w:p>
        </w:tc>
      </w:tr>
      <w:tr w:rsidR="007856F0" w:rsidRPr="00EB661B" w:rsidTr="009B7AC0">
        <w:trPr>
          <w:trHeight w:val="20"/>
        </w:trPr>
        <w:tc>
          <w:tcPr>
            <w:tcW w:w="3794" w:type="dxa"/>
            <w:shd w:val="clear" w:color="auto" w:fill="auto"/>
            <w:vAlign w:val="center"/>
          </w:tcPr>
          <w:p w:rsidR="007856F0" w:rsidRPr="00EB661B" w:rsidRDefault="007856F0" w:rsidP="00831407">
            <w:r w:rsidRPr="00EB661B">
              <w:rPr>
                <w:bCs/>
              </w:rPr>
              <w:t>Дата проведення відкритих торгів (аукціону)</w:t>
            </w:r>
          </w:p>
        </w:tc>
        <w:tc>
          <w:tcPr>
            <w:tcW w:w="6095" w:type="dxa"/>
            <w:shd w:val="clear" w:color="auto" w:fill="auto"/>
            <w:vAlign w:val="center"/>
          </w:tcPr>
          <w:p w:rsidR="007856F0" w:rsidRPr="00EB661B" w:rsidRDefault="001F14ED" w:rsidP="001F14ED">
            <w:pPr>
              <w:jc w:val="both"/>
              <w:rPr>
                <w:b/>
                <w:bCs/>
              </w:rPr>
            </w:pPr>
            <w:r w:rsidRPr="00EB661B">
              <w:rPr>
                <w:b/>
                <w:bCs/>
              </w:rPr>
              <w:t>В</w:t>
            </w:r>
            <w:r w:rsidR="009C4533" w:rsidRPr="00EB661B">
              <w:rPr>
                <w:b/>
                <w:bCs/>
              </w:rPr>
              <w:t xml:space="preserve">ідкриті   торги (аукціон)       – </w:t>
            </w:r>
            <w:r w:rsidRPr="00EB661B">
              <w:rPr>
                <w:b/>
                <w:bCs/>
              </w:rPr>
              <w:t>29</w:t>
            </w:r>
            <w:r w:rsidR="009C4533" w:rsidRPr="00EB661B">
              <w:rPr>
                <w:b/>
                <w:bCs/>
              </w:rPr>
              <w:t>.</w:t>
            </w:r>
            <w:r w:rsidR="008305D2" w:rsidRPr="00EB661B">
              <w:rPr>
                <w:b/>
                <w:bCs/>
              </w:rPr>
              <w:t>0</w:t>
            </w:r>
            <w:r w:rsidRPr="00EB661B">
              <w:rPr>
                <w:b/>
                <w:bCs/>
              </w:rPr>
              <w:t>7</w:t>
            </w:r>
            <w:r w:rsidR="009C4533" w:rsidRPr="00EB661B">
              <w:rPr>
                <w:b/>
                <w:bCs/>
              </w:rPr>
              <w:t>.2019</w:t>
            </w:r>
            <w:r w:rsidR="001D69ED" w:rsidRPr="00EB661B">
              <w:rPr>
                <w:b/>
                <w:bCs/>
              </w:rPr>
              <w:t xml:space="preserve"> </w:t>
            </w:r>
          </w:p>
        </w:tc>
      </w:tr>
      <w:tr w:rsidR="00715FA9" w:rsidRPr="00EB661B" w:rsidTr="009B7AC0">
        <w:trPr>
          <w:trHeight w:val="20"/>
        </w:trPr>
        <w:tc>
          <w:tcPr>
            <w:tcW w:w="3794" w:type="dxa"/>
            <w:shd w:val="clear" w:color="auto" w:fill="auto"/>
            <w:vAlign w:val="center"/>
          </w:tcPr>
          <w:p w:rsidR="00715FA9" w:rsidRPr="00EB661B" w:rsidRDefault="00715FA9" w:rsidP="00831407">
            <w:pPr>
              <w:rPr>
                <w:bCs/>
              </w:rPr>
            </w:pPr>
            <w:r w:rsidRPr="00EB661B">
              <w:rPr>
                <w:bCs/>
              </w:rPr>
              <w:t xml:space="preserve">Час проведення відкритих торгів (аукціону)/електронного аукціону </w:t>
            </w:r>
          </w:p>
        </w:tc>
        <w:tc>
          <w:tcPr>
            <w:tcW w:w="6095" w:type="dxa"/>
            <w:shd w:val="clear" w:color="auto" w:fill="auto"/>
          </w:tcPr>
          <w:p w:rsidR="00715FA9" w:rsidRPr="00EB661B" w:rsidRDefault="00D907DA" w:rsidP="0099664F">
            <w:r w:rsidRPr="00EB661B">
              <w:t xml:space="preserve">Електронний аукціон розпочинається в проміжок часу з 9-30 год. до 10-00 год. </w:t>
            </w:r>
            <w:r w:rsidRPr="00EB661B">
              <w:br/>
              <w:t>Автоматичне покрокове зниження ціни лоту – розпочинається в проміжок часу з 9-30 год.  до 10-00 год. та завершується в проміжок часу з 16-15 год. до 16-45год. (загальна тривалість складає 6 годин 45 хвилин);</w:t>
            </w:r>
            <w:r w:rsidRPr="00EB661B">
              <w:br/>
              <w:t>Етап подання цінових пропозицій  - з 16-15 год. до 17-00 год. (загальна тривалість складає 15 хвилин) :</w:t>
            </w:r>
            <w:r w:rsidRPr="00EB661B">
              <w:br/>
              <w:t>- Період подання закритих цінових пропозицій – з 16-15 год</w:t>
            </w:r>
            <w:r w:rsidR="00792525" w:rsidRPr="00EB661B">
              <w:t>.</w:t>
            </w:r>
            <w:r w:rsidRPr="00EB661B">
              <w:t xml:space="preserve"> до 16-55 год. (загальна тривалість складає 10 </w:t>
            </w:r>
            <w:proofErr w:type="spellStart"/>
            <w:r w:rsidRPr="00EB661B">
              <w:t>хв</w:t>
            </w:r>
            <w:proofErr w:type="spellEnd"/>
            <w:r w:rsidRPr="00EB661B">
              <w:t>)</w:t>
            </w:r>
            <w:r w:rsidRPr="00EB661B">
              <w:br/>
              <w:t>- Період подання цінової пропозиції – з 16-25 год. до 17-00 год. (загальна тривалість складає 5 хвилин)</w:t>
            </w:r>
          </w:p>
        </w:tc>
      </w:tr>
      <w:tr w:rsidR="007856F0" w:rsidRPr="00EB661B" w:rsidTr="009B7AC0">
        <w:trPr>
          <w:trHeight w:val="20"/>
        </w:trPr>
        <w:tc>
          <w:tcPr>
            <w:tcW w:w="3794" w:type="dxa"/>
            <w:shd w:val="clear" w:color="auto" w:fill="auto"/>
            <w:vAlign w:val="center"/>
          </w:tcPr>
          <w:p w:rsidR="007856F0" w:rsidRPr="00EB661B" w:rsidRDefault="007856F0" w:rsidP="00831407">
            <w:pPr>
              <w:rPr>
                <w:bCs/>
              </w:rPr>
            </w:pPr>
            <w:r w:rsidRPr="00EB661B">
              <w:rPr>
                <w:bCs/>
              </w:rPr>
              <w:t>Термін прийняття заяв про участь у відкритих торгах (аукціоні)</w:t>
            </w:r>
          </w:p>
        </w:tc>
        <w:tc>
          <w:tcPr>
            <w:tcW w:w="6095" w:type="dxa"/>
            <w:shd w:val="clear" w:color="auto" w:fill="auto"/>
            <w:vAlign w:val="center"/>
          </w:tcPr>
          <w:p w:rsidR="007856F0" w:rsidRPr="00EB661B" w:rsidRDefault="00D907DA" w:rsidP="0050657B">
            <w:pPr>
              <w:jc w:val="both"/>
            </w:pPr>
            <w:r w:rsidRPr="00EB661B">
              <w:t>Дата початку прийняття заяв – з дати публікації оголошення.</w:t>
            </w:r>
          </w:p>
          <w:p w:rsidR="009C4533" w:rsidRPr="00EB661B" w:rsidRDefault="004241AC" w:rsidP="00590AF6">
            <w:pPr>
              <w:jc w:val="both"/>
            </w:pPr>
            <w:r w:rsidRPr="00EB661B">
              <w:t xml:space="preserve">Кінцевий термін прийняття заяв: </w:t>
            </w:r>
          </w:p>
          <w:p w:rsidR="004241AC" w:rsidRPr="00EB661B" w:rsidRDefault="001F14ED" w:rsidP="001F14ED">
            <w:pPr>
              <w:jc w:val="both"/>
              <w:rPr>
                <w:bCs/>
              </w:rPr>
            </w:pPr>
            <w:r w:rsidRPr="00EB661B">
              <w:rPr>
                <w:bCs/>
              </w:rPr>
              <w:t>В</w:t>
            </w:r>
            <w:r w:rsidR="009C4533" w:rsidRPr="00EB661B">
              <w:rPr>
                <w:bCs/>
              </w:rPr>
              <w:t xml:space="preserve">ідкриті   торги (аукціон)       – </w:t>
            </w:r>
            <w:r w:rsidR="001D69ED" w:rsidRPr="00EB661B">
              <w:rPr>
                <w:b/>
                <w:bCs/>
              </w:rPr>
              <w:t>2</w:t>
            </w:r>
            <w:r w:rsidRPr="00EB661B">
              <w:rPr>
                <w:b/>
                <w:bCs/>
              </w:rPr>
              <w:t>9</w:t>
            </w:r>
            <w:r w:rsidR="009C4533" w:rsidRPr="00EB661B">
              <w:rPr>
                <w:b/>
                <w:bCs/>
              </w:rPr>
              <w:t>.</w:t>
            </w:r>
            <w:r w:rsidR="008305D2" w:rsidRPr="00EB661B">
              <w:rPr>
                <w:b/>
                <w:bCs/>
              </w:rPr>
              <w:t>0</w:t>
            </w:r>
            <w:r w:rsidRPr="00EB661B">
              <w:rPr>
                <w:b/>
                <w:bCs/>
              </w:rPr>
              <w:t>7</w:t>
            </w:r>
            <w:r w:rsidR="009C4533" w:rsidRPr="00EB661B">
              <w:rPr>
                <w:b/>
                <w:bCs/>
              </w:rPr>
              <w:t>.2019 до 1</w:t>
            </w:r>
            <w:r w:rsidR="009C4533" w:rsidRPr="00EB661B">
              <w:rPr>
                <w:b/>
                <w:bCs/>
                <w:lang w:val="ru-RU"/>
              </w:rPr>
              <w:t>6</w:t>
            </w:r>
            <w:r w:rsidR="009C4533" w:rsidRPr="00EB661B">
              <w:rPr>
                <w:b/>
                <w:bCs/>
              </w:rPr>
              <w:t>:00</w:t>
            </w:r>
          </w:p>
        </w:tc>
      </w:tr>
      <w:tr w:rsidR="00715FA9" w:rsidRPr="00EB661B" w:rsidTr="009B7AC0">
        <w:trPr>
          <w:trHeight w:val="20"/>
        </w:trPr>
        <w:tc>
          <w:tcPr>
            <w:tcW w:w="3794" w:type="dxa"/>
            <w:shd w:val="clear" w:color="auto" w:fill="auto"/>
            <w:vAlign w:val="center"/>
          </w:tcPr>
          <w:p w:rsidR="00715FA9" w:rsidRPr="00EB661B" w:rsidRDefault="00715FA9" w:rsidP="00831407">
            <w:pPr>
              <w:rPr>
                <w:bCs/>
              </w:rPr>
            </w:pPr>
            <w:r w:rsidRPr="00EB661B">
              <w:t xml:space="preserve">Електронна адреса для доступу до </w:t>
            </w:r>
            <w:r w:rsidRPr="00EB661B">
              <w:rPr>
                <w:bCs/>
              </w:rPr>
              <w:t>відкритих торгів (аукціону)/електронного аукціону</w:t>
            </w:r>
          </w:p>
        </w:tc>
        <w:tc>
          <w:tcPr>
            <w:tcW w:w="6095" w:type="dxa"/>
            <w:shd w:val="clear" w:color="auto" w:fill="auto"/>
            <w:vAlign w:val="center"/>
          </w:tcPr>
          <w:p w:rsidR="00715FA9" w:rsidRPr="00EB661B" w:rsidRDefault="00EB661B" w:rsidP="00831407">
            <w:pPr>
              <w:jc w:val="both"/>
              <w:rPr>
                <w:bCs/>
                <w:i/>
              </w:rPr>
            </w:pPr>
            <w:hyperlink r:id="rId13" w:history="1">
              <w:r w:rsidR="00715FA9" w:rsidRPr="00EB661B">
                <w:rPr>
                  <w:rStyle w:val="a3"/>
                  <w:bCs/>
                  <w:lang w:val="en-US"/>
                </w:rPr>
                <w:t>www</w:t>
              </w:r>
              <w:proofErr w:type="spellStart"/>
              <w:r w:rsidR="00715FA9" w:rsidRPr="00EB661B">
                <w:rPr>
                  <w:rStyle w:val="a3"/>
                  <w:bCs/>
                </w:rPr>
                <w:t>.prozorro.sale</w:t>
              </w:r>
              <w:proofErr w:type="spellEnd"/>
            </w:hyperlink>
          </w:p>
        </w:tc>
      </w:tr>
      <w:tr w:rsidR="00715FA9" w:rsidRPr="00EB661B" w:rsidTr="009B7AC0">
        <w:trPr>
          <w:trHeight w:val="20"/>
        </w:trPr>
        <w:tc>
          <w:tcPr>
            <w:tcW w:w="3794" w:type="dxa"/>
            <w:shd w:val="clear" w:color="auto" w:fill="auto"/>
            <w:vAlign w:val="center"/>
          </w:tcPr>
          <w:p w:rsidR="00715FA9" w:rsidRPr="00EB661B" w:rsidRDefault="00715FA9" w:rsidP="00831407">
            <w:pPr>
              <w:rPr>
                <w:bCs/>
              </w:rPr>
            </w:pPr>
            <w:r w:rsidRPr="00EB661B">
              <w:rPr>
                <w:bCs/>
              </w:rPr>
              <w:t>Кінцева дата сплати гарантійного внеску</w:t>
            </w:r>
          </w:p>
        </w:tc>
        <w:tc>
          <w:tcPr>
            <w:tcW w:w="6095" w:type="dxa"/>
            <w:shd w:val="clear" w:color="auto" w:fill="auto"/>
          </w:tcPr>
          <w:p w:rsidR="009C4533" w:rsidRPr="00EB661B" w:rsidRDefault="001F14ED" w:rsidP="009C4533">
            <w:pPr>
              <w:jc w:val="both"/>
              <w:rPr>
                <w:bCs/>
              </w:rPr>
            </w:pPr>
            <w:r w:rsidRPr="00EB661B">
              <w:rPr>
                <w:bCs/>
              </w:rPr>
              <w:t>В</w:t>
            </w:r>
            <w:r w:rsidR="009C4533" w:rsidRPr="00EB661B">
              <w:rPr>
                <w:bCs/>
              </w:rPr>
              <w:t xml:space="preserve">ідкриті   торги (аукціон)       – </w:t>
            </w:r>
            <w:r w:rsidR="001D69ED" w:rsidRPr="00EB661B">
              <w:rPr>
                <w:b/>
                <w:bCs/>
              </w:rPr>
              <w:t>2</w:t>
            </w:r>
            <w:r w:rsidRPr="00EB661B">
              <w:rPr>
                <w:b/>
                <w:bCs/>
              </w:rPr>
              <w:t>9</w:t>
            </w:r>
            <w:r w:rsidR="009C4533" w:rsidRPr="00EB661B">
              <w:rPr>
                <w:b/>
                <w:bCs/>
              </w:rPr>
              <w:t>.</w:t>
            </w:r>
            <w:r w:rsidR="008305D2" w:rsidRPr="00EB661B">
              <w:rPr>
                <w:b/>
                <w:bCs/>
              </w:rPr>
              <w:t>0</w:t>
            </w:r>
            <w:r w:rsidRPr="00EB661B">
              <w:rPr>
                <w:b/>
                <w:bCs/>
              </w:rPr>
              <w:t>7</w:t>
            </w:r>
            <w:r w:rsidR="009C4533" w:rsidRPr="00EB661B">
              <w:rPr>
                <w:b/>
                <w:bCs/>
              </w:rPr>
              <w:t>.2019</w:t>
            </w:r>
            <w:r w:rsidR="009C4533" w:rsidRPr="00EB661B">
              <w:rPr>
                <w:bCs/>
              </w:rPr>
              <w:t xml:space="preserve"> </w:t>
            </w:r>
            <w:r w:rsidR="009C4533" w:rsidRPr="00EB661B">
              <w:rPr>
                <w:b/>
                <w:bCs/>
              </w:rPr>
              <w:t>до 16:00</w:t>
            </w:r>
          </w:p>
          <w:p w:rsidR="009C4533" w:rsidRPr="00EB661B" w:rsidRDefault="009C4533" w:rsidP="004241AC"/>
          <w:p w:rsidR="00715FA9" w:rsidRPr="00EB661B" w:rsidRDefault="004241AC" w:rsidP="004241AC">
            <w:pPr>
              <w:rPr>
                <w:bCs/>
              </w:rPr>
            </w:pPr>
            <w:r w:rsidRPr="00EB661B">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w:t>
            </w:r>
          </w:p>
        </w:tc>
      </w:tr>
      <w:tr w:rsidR="00715FA9" w:rsidRPr="00EB661B" w:rsidTr="009B7AC0">
        <w:trPr>
          <w:trHeight w:val="20"/>
        </w:trPr>
        <w:tc>
          <w:tcPr>
            <w:tcW w:w="3794" w:type="dxa"/>
            <w:shd w:val="clear" w:color="auto" w:fill="auto"/>
            <w:vAlign w:val="center"/>
          </w:tcPr>
          <w:p w:rsidR="00715FA9" w:rsidRPr="00EB661B" w:rsidRDefault="00715FA9" w:rsidP="00831407">
            <w:pPr>
              <w:pStyle w:val="a4"/>
              <w:shd w:val="clear" w:color="auto" w:fill="FFFFFF"/>
              <w:spacing w:before="0" w:beforeAutospacing="0" w:after="0" w:afterAutospacing="0"/>
              <w:jc w:val="both"/>
              <w:textAlignment w:val="baseline"/>
              <w:rPr>
                <w:lang w:val="uk-UA"/>
              </w:rPr>
            </w:pPr>
            <w:r w:rsidRPr="00EB661B">
              <w:rPr>
                <w:rFonts w:eastAsia="Calibri"/>
                <w:bCs/>
                <w:shd w:val="clear" w:color="auto" w:fill="FFFFFF"/>
                <w:lang w:val="uk-UA" w:eastAsia="en-US"/>
              </w:rPr>
              <w:lastRenderedPageBreak/>
              <w:t>Розмір реєстраційного внеску</w:t>
            </w:r>
          </w:p>
        </w:tc>
        <w:tc>
          <w:tcPr>
            <w:tcW w:w="6095" w:type="dxa"/>
            <w:shd w:val="clear" w:color="auto" w:fill="auto"/>
          </w:tcPr>
          <w:p w:rsidR="00715FA9" w:rsidRPr="00EB661B" w:rsidRDefault="00715FA9" w:rsidP="00831407">
            <w:pPr>
              <w:jc w:val="both"/>
              <w:rPr>
                <w:bCs/>
                <w:i/>
              </w:rPr>
            </w:pPr>
            <w:r w:rsidRPr="00EB661B">
              <w:rPr>
                <w:rFonts w:eastAsia="Calibri"/>
                <w:bCs/>
                <w:shd w:val="clear" w:color="auto" w:fill="FFFFFF"/>
                <w:lang w:eastAsia="en-US"/>
              </w:rPr>
              <w:t>Реєстраційний внесок відсутній.</w:t>
            </w:r>
          </w:p>
        </w:tc>
      </w:tr>
      <w:tr w:rsidR="00715FA9" w:rsidRPr="00EB661B" w:rsidTr="009B7AC0">
        <w:trPr>
          <w:trHeight w:val="6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E500D9" w:rsidRPr="00EB661B" w:rsidRDefault="00715FA9" w:rsidP="004241AC">
            <w:pPr>
              <w:jc w:val="both"/>
              <w:rPr>
                <w:rFonts w:eastAsia="Calibri"/>
                <w:bCs/>
                <w:shd w:val="clear" w:color="auto" w:fill="FFFFFF"/>
                <w:lang w:eastAsia="en-US"/>
              </w:rPr>
            </w:pPr>
            <w:r w:rsidRPr="00EB661B">
              <w:rPr>
                <w:rFonts w:eastAsia="Calibri"/>
                <w:bCs/>
                <w:shd w:val="clear" w:color="auto" w:fill="FFFFFF"/>
                <w:lang w:eastAsia="en-US"/>
              </w:rPr>
              <w:t>Кожний учасник відкритих торгів (аукціону) погоджується з</w:t>
            </w:r>
            <w:r w:rsidRPr="00EB661B">
              <w:rPr>
                <w:shd w:val="clear" w:color="auto" w:fill="FFFFFF"/>
              </w:rPr>
              <w:t xml:space="preserve"> Регламентом роботи електронної торгової системи щодо проведення відкритих торгів (аукціонів) з продажу майна (активів) банків, в яких запроваджено процедуру тимчасової адміністрації або ліквідації</w:t>
            </w:r>
            <w:r w:rsidRPr="00EB661B">
              <w:rPr>
                <w:rFonts w:eastAsia="Calibri"/>
                <w:bCs/>
                <w:shd w:val="clear" w:color="auto" w:fill="FFFFFF"/>
                <w:lang w:eastAsia="en-US"/>
              </w:rPr>
              <w:t>, який розміщений на веб-сайті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w:t>
            </w:r>
          </w:p>
          <w:p w:rsidR="001F14ED" w:rsidRPr="00EB661B" w:rsidRDefault="001F14ED" w:rsidP="004241AC">
            <w:pPr>
              <w:jc w:val="both"/>
              <w:rPr>
                <w:rFonts w:eastAsia="Calibri"/>
                <w:bCs/>
                <w:shd w:val="clear" w:color="auto" w:fill="FFFFFF"/>
                <w:lang w:eastAsia="en-US"/>
              </w:rPr>
            </w:pPr>
          </w:p>
          <w:p w:rsidR="001F14ED" w:rsidRPr="00EB661B" w:rsidRDefault="001F14ED" w:rsidP="004241AC">
            <w:pPr>
              <w:jc w:val="both"/>
              <w:rPr>
                <w:rFonts w:eastAsia="Calibri"/>
                <w:bCs/>
                <w:shd w:val="clear" w:color="auto" w:fill="FFFFFF"/>
                <w:lang w:eastAsia="en-US"/>
              </w:rPr>
            </w:pPr>
            <w:r w:rsidRPr="00EB661B">
              <w:rPr>
                <w:rFonts w:eastAsia="Calibri"/>
                <w:b/>
                <w:bCs/>
                <w:shd w:val="clear" w:color="auto" w:fill="FFFFFF"/>
                <w:lang w:eastAsia="en-US"/>
              </w:rPr>
              <w:t>Фактична передача покупцю нерухомого майна, що розташоване за адресою: м. Київ, бульвар Тараса Шевченка, 35 та основних засобів відбудеться не пізніше 16.08.2021. До настання вказаного строку ПАТ КБ «ЄВРОБАНК» та ПАТ «БАНК МИХАЙЛІВСЬКИЙ» користуються зазначеним майном на безоплатній основі. Покупець компенсує ПАТ КБ «ЄВРОБАНК» авансові платежі за комунальні послуги нежилих приміщень за адресою: м. Київ, бульвар Тараса Шевченка, 35</w:t>
            </w:r>
            <w:r w:rsidRPr="00EB661B">
              <w:rPr>
                <w:rFonts w:eastAsia="Calibri"/>
                <w:bCs/>
                <w:shd w:val="clear" w:color="auto" w:fill="FFFFFF"/>
                <w:lang w:eastAsia="en-US"/>
              </w:rPr>
              <w:t>.</w:t>
            </w:r>
          </w:p>
          <w:p w:rsidR="006E20CE" w:rsidRPr="00EB661B" w:rsidRDefault="006E20CE" w:rsidP="004241AC">
            <w:pPr>
              <w:jc w:val="both"/>
              <w:rPr>
                <w:i/>
              </w:rPr>
            </w:pPr>
          </w:p>
          <w:p w:rsidR="00C74A08" w:rsidRPr="00EB661B" w:rsidRDefault="00C74A08" w:rsidP="004241AC">
            <w:pPr>
              <w:jc w:val="both"/>
              <w:rPr>
                <w:b/>
                <w:lang w:val="ru-RU"/>
              </w:rPr>
            </w:pPr>
            <w:r w:rsidRPr="00EB661B">
              <w:rPr>
                <w:b/>
                <w:i/>
              </w:rPr>
              <w:t>Всі витрати, пов’язані з укладенням договорів купівлі-продажу сплачує покупець - переможець аукціону.</w:t>
            </w:r>
          </w:p>
        </w:tc>
      </w:tr>
    </w:tbl>
    <w:p w:rsidR="002C4489" w:rsidRPr="00EB661B" w:rsidRDefault="002C4489" w:rsidP="00715FA9"/>
    <w:sectPr w:rsidR="002C4489" w:rsidRPr="00EB661B">
      <w:head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09" w:rsidRDefault="00163209">
      <w:r>
        <w:separator/>
      </w:r>
    </w:p>
  </w:endnote>
  <w:endnote w:type="continuationSeparator" w:id="0">
    <w:p w:rsidR="00163209" w:rsidRDefault="0016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09" w:rsidRDefault="00163209">
      <w:r>
        <w:separator/>
      </w:r>
    </w:p>
  </w:footnote>
  <w:footnote w:type="continuationSeparator" w:id="0">
    <w:p w:rsidR="00163209" w:rsidRDefault="00163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09" w:rsidRPr="004C3BC9" w:rsidRDefault="00163209" w:rsidP="00831407">
    <w:pPr>
      <w:pStyle w:val="a6"/>
      <w:jc w:val="center"/>
    </w:pPr>
    <w:r w:rsidRPr="00272791">
      <w:fldChar w:fldCharType="begin"/>
    </w:r>
    <w:r w:rsidRPr="00272791">
      <w:instrText xml:space="preserve"> PAGE   \* MERGEFORMAT </w:instrText>
    </w:r>
    <w:r w:rsidRPr="00272791">
      <w:fldChar w:fldCharType="separate"/>
    </w:r>
    <w:r w:rsidR="00EB661B">
      <w:rPr>
        <w:noProof/>
      </w:rPr>
      <w:t>2</w:t>
    </w:r>
    <w:r w:rsidRPr="0027279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7A2D"/>
    <w:multiLevelType w:val="hybridMultilevel"/>
    <w:tmpl w:val="35FC527A"/>
    <w:lvl w:ilvl="0" w:tplc="EFEA9330">
      <w:start w:val="1"/>
      <w:numFmt w:val="decimal"/>
      <w:lvlText w:val="%1)"/>
      <w:lvlJc w:val="left"/>
      <w:pPr>
        <w:ind w:left="927" w:hanging="360"/>
      </w:pPr>
      <w:rPr>
        <w:rFonts w:hint="default"/>
        <w:i w:val="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224F70FE"/>
    <w:multiLevelType w:val="hybridMultilevel"/>
    <w:tmpl w:val="35FC527A"/>
    <w:lvl w:ilvl="0" w:tplc="EFEA9330">
      <w:start w:val="1"/>
      <w:numFmt w:val="decimal"/>
      <w:lvlText w:val="%1)"/>
      <w:lvlJc w:val="left"/>
      <w:pPr>
        <w:ind w:left="927" w:hanging="360"/>
      </w:pPr>
      <w:rPr>
        <w:rFonts w:hint="default"/>
        <w:i w:val="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452D09A1"/>
    <w:multiLevelType w:val="hybridMultilevel"/>
    <w:tmpl w:val="D20CA8A8"/>
    <w:lvl w:ilvl="0" w:tplc="ACEAFA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BE"/>
    <w:rsid w:val="000048F8"/>
    <w:rsid w:val="000053AA"/>
    <w:rsid w:val="00011C96"/>
    <w:rsid w:val="0001533C"/>
    <w:rsid w:val="00015810"/>
    <w:rsid w:val="00030735"/>
    <w:rsid w:val="000401D7"/>
    <w:rsid w:val="000443E8"/>
    <w:rsid w:val="00044ECC"/>
    <w:rsid w:val="00046637"/>
    <w:rsid w:val="00060E50"/>
    <w:rsid w:val="00061BBE"/>
    <w:rsid w:val="00064035"/>
    <w:rsid w:val="0007450B"/>
    <w:rsid w:val="000834FF"/>
    <w:rsid w:val="000A4653"/>
    <w:rsid w:val="000A53C8"/>
    <w:rsid w:val="000B6C1B"/>
    <w:rsid w:val="000D0A53"/>
    <w:rsid w:val="000D0F33"/>
    <w:rsid w:val="000D40CC"/>
    <w:rsid w:val="0010127A"/>
    <w:rsid w:val="00120228"/>
    <w:rsid w:val="00147CF3"/>
    <w:rsid w:val="00163209"/>
    <w:rsid w:val="00166DAE"/>
    <w:rsid w:val="00176C3C"/>
    <w:rsid w:val="001C6F12"/>
    <w:rsid w:val="001D668A"/>
    <w:rsid w:val="001D69ED"/>
    <w:rsid w:val="001E0537"/>
    <w:rsid w:val="001F14ED"/>
    <w:rsid w:val="001F1F58"/>
    <w:rsid w:val="00200ADF"/>
    <w:rsid w:val="00243FE0"/>
    <w:rsid w:val="00246C88"/>
    <w:rsid w:val="00247A81"/>
    <w:rsid w:val="00254713"/>
    <w:rsid w:val="00254B87"/>
    <w:rsid w:val="00261AC4"/>
    <w:rsid w:val="00261C3C"/>
    <w:rsid w:val="00274591"/>
    <w:rsid w:val="00286486"/>
    <w:rsid w:val="00296177"/>
    <w:rsid w:val="002C4489"/>
    <w:rsid w:val="002E01EF"/>
    <w:rsid w:val="002E0281"/>
    <w:rsid w:val="002E2E18"/>
    <w:rsid w:val="002E7B9B"/>
    <w:rsid w:val="0030486E"/>
    <w:rsid w:val="00312D13"/>
    <w:rsid w:val="00317BF1"/>
    <w:rsid w:val="003346D0"/>
    <w:rsid w:val="0034212E"/>
    <w:rsid w:val="003631EF"/>
    <w:rsid w:val="003634C9"/>
    <w:rsid w:val="003710FD"/>
    <w:rsid w:val="003829EB"/>
    <w:rsid w:val="00386910"/>
    <w:rsid w:val="00387D5C"/>
    <w:rsid w:val="003A4DE3"/>
    <w:rsid w:val="003A71B6"/>
    <w:rsid w:val="003C11A3"/>
    <w:rsid w:val="003C3EF6"/>
    <w:rsid w:val="003E265A"/>
    <w:rsid w:val="003E31F3"/>
    <w:rsid w:val="003F3DBE"/>
    <w:rsid w:val="004241AC"/>
    <w:rsid w:val="00431299"/>
    <w:rsid w:val="00452804"/>
    <w:rsid w:val="00482C16"/>
    <w:rsid w:val="004A2342"/>
    <w:rsid w:val="004A4886"/>
    <w:rsid w:val="004B0CA3"/>
    <w:rsid w:val="004B66E6"/>
    <w:rsid w:val="004B6DC5"/>
    <w:rsid w:val="004C358F"/>
    <w:rsid w:val="004C38FA"/>
    <w:rsid w:val="0050657B"/>
    <w:rsid w:val="005170C1"/>
    <w:rsid w:val="00533308"/>
    <w:rsid w:val="00541CBF"/>
    <w:rsid w:val="0054655B"/>
    <w:rsid w:val="00590AF6"/>
    <w:rsid w:val="0059341E"/>
    <w:rsid w:val="00595A9E"/>
    <w:rsid w:val="005A01A6"/>
    <w:rsid w:val="005A7238"/>
    <w:rsid w:val="005B2F25"/>
    <w:rsid w:val="005B3060"/>
    <w:rsid w:val="005C67AE"/>
    <w:rsid w:val="005E7DEE"/>
    <w:rsid w:val="005F071F"/>
    <w:rsid w:val="005F5BDC"/>
    <w:rsid w:val="00600637"/>
    <w:rsid w:val="00612825"/>
    <w:rsid w:val="00632DC8"/>
    <w:rsid w:val="00651762"/>
    <w:rsid w:val="00691416"/>
    <w:rsid w:val="006A4AE3"/>
    <w:rsid w:val="006B692F"/>
    <w:rsid w:val="006C33DF"/>
    <w:rsid w:val="006E20CE"/>
    <w:rsid w:val="006E2F9E"/>
    <w:rsid w:val="00701C76"/>
    <w:rsid w:val="00715FA9"/>
    <w:rsid w:val="00741C78"/>
    <w:rsid w:val="00743CE3"/>
    <w:rsid w:val="0074725E"/>
    <w:rsid w:val="0076208D"/>
    <w:rsid w:val="007670BA"/>
    <w:rsid w:val="00767D1C"/>
    <w:rsid w:val="00774995"/>
    <w:rsid w:val="007856F0"/>
    <w:rsid w:val="00787269"/>
    <w:rsid w:val="00792525"/>
    <w:rsid w:val="00794769"/>
    <w:rsid w:val="00797033"/>
    <w:rsid w:val="007B056F"/>
    <w:rsid w:val="007B617D"/>
    <w:rsid w:val="007C07BE"/>
    <w:rsid w:val="007C3432"/>
    <w:rsid w:val="007D580E"/>
    <w:rsid w:val="007D7972"/>
    <w:rsid w:val="007E4D9A"/>
    <w:rsid w:val="007F0F83"/>
    <w:rsid w:val="007F633D"/>
    <w:rsid w:val="0080192D"/>
    <w:rsid w:val="00810328"/>
    <w:rsid w:val="00812F9C"/>
    <w:rsid w:val="0082514D"/>
    <w:rsid w:val="008305D2"/>
    <w:rsid w:val="00831407"/>
    <w:rsid w:val="008363BB"/>
    <w:rsid w:val="00843484"/>
    <w:rsid w:val="00856C5F"/>
    <w:rsid w:val="00857ACD"/>
    <w:rsid w:val="00863636"/>
    <w:rsid w:val="008A5E68"/>
    <w:rsid w:val="008B5590"/>
    <w:rsid w:val="008E4380"/>
    <w:rsid w:val="009018A9"/>
    <w:rsid w:val="009056B0"/>
    <w:rsid w:val="0091307A"/>
    <w:rsid w:val="0099664F"/>
    <w:rsid w:val="009A0EE3"/>
    <w:rsid w:val="009B7AC0"/>
    <w:rsid w:val="009C4533"/>
    <w:rsid w:val="009D01F2"/>
    <w:rsid w:val="009D771E"/>
    <w:rsid w:val="009F65F3"/>
    <w:rsid w:val="00A227C1"/>
    <w:rsid w:val="00A33DCA"/>
    <w:rsid w:val="00A3458B"/>
    <w:rsid w:val="00A512C2"/>
    <w:rsid w:val="00A63F4A"/>
    <w:rsid w:val="00A66B37"/>
    <w:rsid w:val="00A7630F"/>
    <w:rsid w:val="00A7661D"/>
    <w:rsid w:val="00AA3CC4"/>
    <w:rsid w:val="00AB173D"/>
    <w:rsid w:val="00AC4798"/>
    <w:rsid w:val="00AD0804"/>
    <w:rsid w:val="00AD2DFD"/>
    <w:rsid w:val="00AD35DF"/>
    <w:rsid w:val="00AE71A5"/>
    <w:rsid w:val="00AF1519"/>
    <w:rsid w:val="00AF3382"/>
    <w:rsid w:val="00B437D9"/>
    <w:rsid w:val="00B46804"/>
    <w:rsid w:val="00B46C5D"/>
    <w:rsid w:val="00B550A6"/>
    <w:rsid w:val="00B6519C"/>
    <w:rsid w:val="00B80BEE"/>
    <w:rsid w:val="00B90A00"/>
    <w:rsid w:val="00BD42C3"/>
    <w:rsid w:val="00BD6241"/>
    <w:rsid w:val="00BE7EE4"/>
    <w:rsid w:val="00BF1D98"/>
    <w:rsid w:val="00C04FF6"/>
    <w:rsid w:val="00C13480"/>
    <w:rsid w:val="00C171AA"/>
    <w:rsid w:val="00C24415"/>
    <w:rsid w:val="00C46687"/>
    <w:rsid w:val="00C57CAF"/>
    <w:rsid w:val="00C74A08"/>
    <w:rsid w:val="00C75950"/>
    <w:rsid w:val="00C9318E"/>
    <w:rsid w:val="00C94D4D"/>
    <w:rsid w:val="00CB0DA2"/>
    <w:rsid w:val="00CB5308"/>
    <w:rsid w:val="00CD0A4D"/>
    <w:rsid w:val="00CF00BE"/>
    <w:rsid w:val="00D17DAC"/>
    <w:rsid w:val="00D27391"/>
    <w:rsid w:val="00D32AF4"/>
    <w:rsid w:val="00D43895"/>
    <w:rsid w:val="00D46B8F"/>
    <w:rsid w:val="00D530E8"/>
    <w:rsid w:val="00D67DDF"/>
    <w:rsid w:val="00D73988"/>
    <w:rsid w:val="00D86A81"/>
    <w:rsid w:val="00D907DA"/>
    <w:rsid w:val="00DA395F"/>
    <w:rsid w:val="00DB3E46"/>
    <w:rsid w:val="00DE69B5"/>
    <w:rsid w:val="00E21B70"/>
    <w:rsid w:val="00E232CF"/>
    <w:rsid w:val="00E31339"/>
    <w:rsid w:val="00E319EF"/>
    <w:rsid w:val="00E500D9"/>
    <w:rsid w:val="00E51033"/>
    <w:rsid w:val="00E5740B"/>
    <w:rsid w:val="00E63176"/>
    <w:rsid w:val="00E7744B"/>
    <w:rsid w:val="00E811BC"/>
    <w:rsid w:val="00E92348"/>
    <w:rsid w:val="00E96D87"/>
    <w:rsid w:val="00EB11D2"/>
    <w:rsid w:val="00EB661B"/>
    <w:rsid w:val="00EC71B7"/>
    <w:rsid w:val="00ED172E"/>
    <w:rsid w:val="00EE035A"/>
    <w:rsid w:val="00EF19F4"/>
    <w:rsid w:val="00F06A6D"/>
    <w:rsid w:val="00F373C8"/>
    <w:rsid w:val="00F47516"/>
    <w:rsid w:val="00F551F0"/>
    <w:rsid w:val="00F72968"/>
    <w:rsid w:val="00FC7346"/>
    <w:rsid w:val="00FD02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iPriority w:val="99"/>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и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Обычны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E232CF"/>
    <w:rPr>
      <w:rFonts w:ascii="Segoe UI" w:hAnsi="Segoe UI" w:cs="Segoe UI"/>
      <w:sz w:val="18"/>
      <w:szCs w:val="18"/>
    </w:rPr>
  </w:style>
  <w:style w:type="character" w:customStyle="1" w:styleId="aa">
    <w:name w:val="Текст выноски Знак"/>
    <w:basedOn w:val="a0"/>
    <w:link w:val="a9"/>
    <w:uiPriority w:val="99"/>
    <w:semiHidden/>
    <w:rsid w:val="00E232CF"/>
    <w:rPr>
      <w:rFonts w:ascii="Segoe UI" w:eastAsia="Times New Roman" w:hAnsi="Segoe UI" w:cs="Segoe UI"/>
      <w:sz w:val="18"/>
      <w:szCs w:val="18"/>
      <w:lang w:eastAsia="ru-RU"/>
    </w:rPr>
  </w:style>
  <w:style w:type="paragraph" w:styleId="ab">
    <w:name w:val="footer"/>
    <w:basedOn w:val="a"/>
    <w:link w:val="ac"/>
    <w:uiPriority w:val="99"/>
    <w:unhideWhenUsed/>
    <w:rsid w:val="00595A9E"/>
    <w:pPr>
      <w:tabs>
        <w:tab w:val="center" w:pos="4819"/>
        <w:tab w:val="right" w:pos="9639"/>
      </w:tabs>
    </w:pPr>
  </w:style>
  <w:style w:type="character" w:customStyle="1" w:styleId="ac">
    <w:name w:val="Нижний колонтитул Знак"/>
    <w:basedOn w:val="a0"/>
    <w:link w:val="ab"/>
    <w:uiPriority w:val="99"/>
    <w:rsid w:val="00595A9E"/>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4C358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iPriority w:val="99"/>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и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Обычны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E232CF"/>
    <w:rPr>
      <w:rFonts w:ascii="Segoe UI" w:hAnsi="Segoe UI" w:cs="Segoe UI"/>
      <w:sz w:val="18"/>
      <w:szCs w:val="18"/>
    </w:rPr>
  </w:style>
  <w:style w:type="character" w:customStyle="1" w:styleId="aa">
    <w:name w:val="Текст выноски Знак"/>
    <w:basedOn w:val="a0"/>
    <w:link w:val="a9"/>
    <w:uiPriority w:val="99"/>
    <w:semiHidden/>
    <w:rsid w:val="00E232CF"/>
    <w:rPr>
      <w:rFonts w:ascii="Segoe UI" w:eastAsia="Times New Roman" w:hAnsi="Segoe UI" w:cs="Segoe UI"/>
      <w:sz w:val="18"/>
      <w:szCs w:val="18"/>
      <w:lang w:eastAsia="ru-RU"/>
    </w:rPr>
  </w:style>
  <w:style w:type="paragraph" w:styleId="ab">
    <w:name w:val="footer"/>
    <w:basedOn w:val="a"/>
    <w:link w:val="ac"/>
    <w:uiPriority w:val="99"/>
    <w:unhideWhenUsed/>
    <w:rsid w:val="00595A9E"/>
    <w:pPr>
      <w:tabs>
        <w:tab w:val="center" w:pos="4819"/>
        <w:tab w:val="right" w:pos="9639"/>
      </w:tabs>
    </w:pPr>
  </w:style>
  <w:style w:type="character" w:customStyle="1" w:styleId="ac">
    <w:name w:val="Нижний колонтитул Знак"/>
    <w:basedOn w:val="a0"/>
    <w:link w:val="ab"/>
    <w:uiPriority w:val="99"/>
    <w:rsid w:val="00595A9E"/>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4C3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6787">
      <w:bodyDiv w:val="1"/>
      <w:marLeft w:val="0"/>
      <w:marRight w:val="0"/>
      <w:marTop w:val="0"/>
      <w:marBottom w:val="0"/>
      <w:divBdr>
        <w:top w:val="none" w:sz="0" w:space="0" w:color="auto"/>
        <w:left w:val="none" w:sz="0" w:space="0" w:color="auto"/>
        <w:bottom w:val="none" w:sz="0" w:space="0" w:color="auto"/>
        <w:right w:val="none" w:sz="0" w:space="0" w:color="auto"/>
      </w:divBdr>
    </w:div>
    <w:div w:id="88047237">
      <w:bodyDiv w:val="1"/>
      <w:marLeft w:val="0"/>
      <w:marRight w:val="0"/>
      <w:marTop w:val="0"/>
      <w:marBottom w:val="0"/>
      <w:divBdr>
        <w:top w:val="none" w:sz="0" w:space="0" w:color="auto"/>
        <w:left w:val="none" w:sz="0" w:space="0" w:color="auto"/>
        <w:bottom w:val="none" w:sz="0" w:space="0" w:color="auto"/>
        <w:right w:val="none" w:sz="0" w:space="0" w:color="auto"/>
      </w:divBdr>
    </w:div>
    <w:div w:id="88813801">
      <w:bodyDiv w:val="1"/>
      <w:marLeft w:val="0"/>
      <w:marRight w:val="0"/>
      <w:marTop w:val="0"/>
      <w:marBottom w:val="0"/>
      <w:divBdr>
        <w:top w:val="none" w:sz="0" w:space="0" w:color="auto"/>
        <w:left w:val="none" w:sz="0" w:space="0" w:color="auto"/>
        <w:bottom w:val="none" w:sz="0" w:space="0" w:color="auto"/>
        <w:right w:val="none" w:sz="0" w:space="0" w:color="auto"/>
      </w:divBdr>
    </w:div>
    <w:div w:id="95053967">
      <w:bodyDiv w:val="1"/>
      <w:marLeft w:val="0"/>
      <w:marRight w:val="0"/>
      <w:marTop w:val="0"/>
      <w:marBottom w:val="0"/>
      <w:divBdr>
        <w:top w:val="none" w:sz="0" w:space="0" w:color="auto"/>
        <w:left w:val="none" w:sz="0" w:space="0" w:color="auto"/>
        <w:bottom w:val="none" w:sz="0" w:space="0" w:color="auto"/>
        <w:right w:val="none" w:sz="0" w:space="0" w:color="auto"/>
      </w:divBdr>
    </w:div>
    <w:div w:id="121386347">
      <w:bodyDiv w:val="1"/>
      <w:marLeft w:val="0"/>
      <w:marRight w:val="0"/>
      <w:marTop w:val="0"/>
      <w:marBottom w:val="0"/>
      <w:divBdr>
        <w:top w:val="none" w:sz="0" w:space="0" w:color="auto"/>
        <w:left w:val="none" w:sz="0" w:space="0" w:color="auto"/>
        <w:bottom w:val="none" w:sz="0" w:space="0" w:color="auto"/>
        <w:right w:val="none" w:sz="0" w:space="0" w:color="auto"/>
      </w:divBdr>
    </w:div>
    <w:div w:id="160630394">
      <w:bodyDiv w:val="1"/>
      <w:marLeft w:val="0"/>
      <w:marRight w:val="0"/>
      <w:marTop w:val="0"/>
      <w:marBottom w:val="0"/>
      <w:divBdr>
        <w:top w:val="none" w:sz="0" w:space="0" w:color="auto"/>
        <w:left w:val="none" w:sz="0" w:space="0" w:color="auto"/>
        <w:bottom w:val="none" w:sz="0" w:space="0" w:color="auto"/>
        <w:right w:val="none" w:sz="0" w:space="0" w:color="auto"/>
      </w:divBdr>
    </w:div>
    <w:div w:id="190994702">
      <w:bodyDiv w:val="1"/>
      <w:marLeft w:val="0"/>
      <w:marRight w:val="0"/>
      <w:marTop w:val="0"/>
      <w:marBottom w:val="0"/>
      <w:divBdr>
        <w:top w:val="none" w:sz="0" w:space="0" w:color="auto"/>
        <w:left w:val="none" w:sz="0" w:space="0" w:color="auto"/>
        <w:bottom w:val="none" w:sz="0" w:space="0" w:color="auto"/>
        <w:right w:val="none" w:sz="0" w:space="0" w:color="auto"/>
      </w:divBdr>
    </w:div>
    <w:div w:id="253636953">
      <w:bodyDiv w:val="1"/>
      <w:marLeft w:val="0"/>
      <w:marRight w:val="0"/>
      <w:marTop w:val="0"/>
      <w:marBottom w:val="0"/>
      <w:divBdr>
        <w:top w:val="none" w:sz="0" w:space="0" w:color="auto"/>
        <w:left w:val="none" w:sz="0" w:space="0" w:color="auto"/>
        <w:bottom w:val="none" w:sz="0" w:space="0" w:color="auto"/>
        <w:right w:val="none" w:sz="0" w:space="0" w:color="auto"/>
      </w:divBdr>
    </w:div>
    <w:div w:id="323510694">
      <w:bodyDiv w:val="1"/>
      <w:marLeft w:val="0"/>
      <w:marRight w:val="0"/>
      <w:marTop w:val="0"/>
      <w:marBottom w:val="0"/>
      <w:divBdr>
        <w:top w:val="none" w:sz="0" w:space="0" w:color="auto"/>
        <w:left w:val="none" w:sz="0" w:space="0" w:color="auto"/>
        <w:bottom w:val="none" w:sz="0" w:space="0" w:color="auto"/>
        <w:right w:val="none" w:sz="0" w:space="0" w:color="auto"/>
      </w:divBdr>
    </w:div>
    <w:div w:id="338192834">
      <w:bodyDiv w:val="1"/>
      <w:marLeft w:val="0"/>
      <w:marRight w:val="0"/>
      <w:marTop w:val="0"/>
      <w:marBottom w:val="0"/>
      <w:divBdr>
        <w:top w:val="none" w:sz="0" w:space="0" w:color="auto"/>
        <w:left w:val="none" w:sz="0" w:space="0" w:color="auto"/>
        <w:bottom w:val="none" w:sz="0" w:space="0" w:color="auto"/>
        <w:right w:val="none" w:sz="0" w:space="0" w:color="auto"/>
      </w:divBdr>
    </w:div>
    <w:div w:id="491066069">
      <w:bodyDiv w:val="1"/>
      <w:marLeft w:val="0"/>
      <w:marRight w:val="0"/>
      <w:marTop w:val="0"/>
      <w:marBottom w:val="0"/>
      <w:divBdr>
        <w:top w:val="none" w:sz="0" w:space="0" w:color="auto"/>
        <w:left w:val="none" w:sz="0" w:space="0" w:color="auto"/>
        <w:bottom w:val="none" w:sz="0" w:space="0" w:color="auto"/>
        <w:right w:val="none" w:sz="0" w:space="0" w:color="auto"/>
      </w:divBdr>
    </w:div>
    <w:div w:id="495341622">
      <w:bodyDiv w:val="1"/>
      <w:marLeft w:val="0"/>
      <w:marRight w:val="0"/>
      <w:marTop w:val="0"/>
      <w:marBottom w:val="0"/>
      <w:divBdr>
        <w:top w:val="none" w:sz="0" w:space="0" w:color="auto"/>
        <w:left w:val="none" w:sz="0" w:space="0" w:color="auto"/>
        <w:bottom w:val="none" w:sz="0" w:space="0" w:color="auto"/>
        <w:right w:val="none" w:sz="0" w:space="0" w:color="auto"/>
      </w:divBdr>
    </w:div>
    <w:div w:id="554781851">
      <w:bodyDiv w:val="1"/>
      <w:marLeft w:val="0"/>
      <w:marRight w:val="0"/>
      <w:marTop w:val="0"/>
      <w:marBottom w:val="0"/>
      <w:divBdr>
        <w:top w:val="none" w:sz="0" w:space="0" w:color="auto"/>
        <w:left w:val="none" w:sz="0" w:space="0" w:color="auto"/>
        <w:bottom w:val="none" w:sz="0" w:space="0" w:color="auto"/>
        <w:right w:val="none" w:sz="0" w:space="0" w:color="auto"/>
      </w:divBdr>
    </w:div>
    <w:div w:id="582034485">
      <w:bodyDiv w:val="1"/>
      <w:marLeft w:val="0"/>
      <w:marRight w:val="0"/>
      <w:marTop w:val="0"/>
      <w:marBottom w:val="0"/>
      <w:divBdr>
        <w:top w:val="none" w:sz="0" w:space="0" w:color="auto"/>
        <w:left w:val="none" w:sz="0" w:space="0" w:color="auto"/>
        <w:bottom w:val="none" w:sz="0" w:space="0" w:color="auto"/>
        <w:right w:val="none" w:sz="0" w:space="0" w:color="auto"/>
      </w:divBdr>
    </w:div>
    <w:div w:id="655114873">
      <w:bodyDiv w:val="1"/>
      <w:marLeft w:val="0"/>
      <w:marRight w:val="0"/>
      <w:marTop w:val="0"/>
      <w:marBottom w:val="0"/>
      <w:divBdr>
        <w:top w:val="none" w:sz="0" w:space="0" w:color="auto"/>
        <w:left w:val="none" w:sz="0" w:space="0" w:color="auto"/>
        <w:bottom w:val="none" w:sz="0" w:space="0" w:color="auto"/>
        <w:right w:val="none" w:sz="0" w:space="0" w:color="auto"/>
      </w:divBdr>
    </w:div>
    <w:div w:id="658313546">
      <w:bodyDiv w:val="1"/>
      <w:marLeft w:val="0"/>
      <w:marRight w:val="0"/>
      <w:marTop w:val="0"/>
      <w:marBottom w:val="0"/>
      <w:divBdr>
        <w:top w:val="none" w:sz="0" w:space="0" w:color="auto"/>
        <w:left w:val="none" w:sz="0" w:space="0" w:color="auto"/>
        <w:bottom w:val="none" w:sz="0" w:space="0" w:color="auto"/>
        <w:right w:val="none" w:sz="0" w:space="0" w:color="auto"/>
      </w:divBdr>
    </w:div>
    <w:div w:id="688484478">
      <w:bodyDiv w:val="1"/>
      <w:marLeft w:val="0"/>
      <w:marRight w:val="0"/>
      <w:marTop w:val="0"/>
      <w:marBottom w:val="0"/>
      <w:divBdr>
        <w:top w:val="none" w:sz="0" w:space="0" w:color="auto"/>
        <w:left w:val="none" w:sz="0" w:space="0" w:color="auto"/>
        <w:bottom w:val="none" w:sz="0" w:space="0" w:color="auto"/>
        <w:right w:val="none" w:sz="0" w:space="0" w:color="auto"/>
      </w:divBdr>
    </w:div>
    <w:div w:id="757948369">
      <w:bodyDiv w:val="1"/>
      <w:marLeft w:val="0"/>
      <w:marRight w:val="0"/>
      <w:marTop w:val="0"/>
      <w:marBottom w:val="0"/>
      <w:divBdr>
        <w:top w:val="none" w:sz="0" w:space="0" w:color="auto"/>
        <w:left w:val="none" w:sz="0" w:space="0" w:color="auto"/>
        <w:bottom w:val="none" w:sz="0" w:space="0" w:color="auto"/>
        <w:right w:val="none" w:sz="0" w:space="0" w:color="auto"/>
      </w:divBdr>
    </w:div>
    <w:div w:id="923223481">
      <w:bodyDiv w:val="1"/>
      <w:marLeft w:val="0"/>
      <w:marRight w:val="0"/>
      <w:marTop w:val="0"/>
      <w:marBottom w:val="0"/>
      <w:divBdr>
        <w:top w:val="none" w:sz="0" w:space="0" w:color="auto"/>
        <w:left w:val="none" w:sz="0" w:space="0" w:color="auto"/>
        <w:bottom w:val="none" w:sz="0" w:space="0" w:color="auto"/>
        <w:right w:val="none" w:sz="0" w:space="0" w:color="auto"/>
      </w:divBdr>
    </w:div>
    <w:div w:id="939526038">
      <w:bodyDiv w:val="1"/>
      <w:marLeft w:val="0"/>
      <w:marRight w:val="0"/>
      <w:marTop w:val="0"/>
      <w:marBottom w:val="0"/>
      <w:divBdr>
        <w:top w:val="none" w:sz="0" w:space="0" w:color="auto"/>
        <w:left w:val="none" w:sz="0" w:space="0" w:color="auto"/>
        <w:bottom w:val="none" w:sz="0" w:space="0" w:color="auto"/>
        <w:right w:val="none" w:sz="0" w:space="0" w:color="auto"/>
      </w:divBdr>
    </w:div>
    <w:div w:id="968361835">
      <w:bodyDiv w:val="1"/>
      <w:marLeft w:val="0"/>
      <w:marRight w:val="0"/>
      <w:marTop w:val="0"/>
      <w:marBottom w:val="0"/>
      <w:divBdr>
        <w:top w:val="none" w:sz="0" w:space="0" w:color="auto"/>
        <w:left w:val="none" w:sz="0" w:space="0" w:color="auto"/>
        <w:bottom w:val="none" w:sz="0" w:space="0" w:color="auto"/>
        <w:right w:val="none" w:sz="0" w:space="0" w:color="auto"/>
      </w:divBdr>
    </w:div>
    <w:div w:id="980110558">
      <w:bodyDiv w:val="1"/>
      <w:marLeft w:val="0"/>
      <w:marRight w:val="0"/>
      <w:marTop w:val="0"/>
      <w:marBottom w:val="0"/>
      <w:divBdr>
        <w:top w:val="none" w:sz="0" w:space="0" w:color="auto"/>
        <w:left w:val="none" w:sz="0" w:space="0" w:color="auto"/>
        <w:bottom w:val="none" w:sz="0" w:space="0" w:color="auto"/>
        <w:right w:val="none" w:sz="0" w:space="0" w:color="auto"/>
      </w:divBdr>
    </w:div>
    <w:div w:id="997076077">
      <w:bodyDiv w:val="1"/>
      <w:marLeft w:val="0"/>
      <w:marRight w:val="0"/>
      <w:marTop w:val="0"/>
      <w:marBottom w:val="0"/>
      <w:divBdr>
        <w:top w:val="none" w:sz="0" w:space="0" w:color="auto"/>
        <w:left w:val="none" w:sz="0" w:space="0" w:color="auto"/>
        <w:bottom w:val="none" w:sz="0" w:space="0" w:color="auto"/>
        <w:right w:val="none" w:sz="0" w:space="0" w:color="auto"/>
      </w:divBdr>
    </w:div>
    <w:div w:id="1006245377">
      <w:bodyDiv w:val="1"/>
      <w:marLeft w:val="0"/>
      <w:marRight w:val="0"/>
      <w:marTop w:val="0"/>
      <w:marBottom w:val="0"/>
      <w:divBdr>
        <w:top w:val="none" w:sz="0" w:space="0" w:color="auto"/>
        <w:left w:val="none" w:sz="0" w:space="0" w:color="auto"/>
        <w:bottom w:val="none" w:sz="0" w:space="0" w:color="auto"/>
        <w:right w:val="none" w:sz="0" w:space="0" w:color="auto"/>
      </w:divBdr>
    </w:div>
    <w:div w:id="1029064313">
      <w:bodyDiv w:val="1"/>
      <w:marLeft w:val="0"/>
      <w:marRight w:val="0"/>
      <w:marTop w:val="0"/>
      <w:marBottom w:val="0"/>
      <w:divBdr>
        <w:top w:val="none" w:sz="0" w:space="0" w:color="auto"/>
        <w:left w:val="none" w:sz="0" w:space="0" w:color="auto"/>
        <w:bottom w:val="none" w:sz="0" w:space="0" w:color="auto"/>
        <w:right w:val="none" w:sz="0" w:space="0" w:color="auto"/>
      </w:divBdr>
    </w:div>
    <w:div w:id="1161585763">
      <w:bodyDiv w:val="1"/>
      <w:marLeft w:val="0"/>
      <w:marRight w:val="0"/>
      <w:marTop w:val="0"/>
      <w:marBottom w:val="0"/>
      <w:divBdr>
        <w:top w:val="none" w:sz="0" w:space="0" w:color="auto"/>
        <w:left w:val="none" w:sz="0" w:space="0" w:color="auto"/>
        <w:bottom w:val="none" w:sz="0" w:space="0" w:color="auto"/>
        <w:right w:val="none" w:sz="0" w:space="0" w:color="auto"/>
      </w:divBdr>
    </w:div>
    <w:div w:id="1165901453">
      <w:bodyDiv w:val="1"/>
      <w:marLeft w:val="0"/>
      <w:marRight w:val="0"/>
      <w:marTop w:val="0"/>
      <w:marBottom w:val="0"/>
      <w:divBdr>
        <w:top w:val="none" w:sz="0" w:space="0" w:color="auto"/>
        <w:left w:val="none" w:sz="0" w:space="0" w:color="auto"/>
        <w:bottom w:val="none" w:sz="0" w:space="0" w:color="auto"/>
        <w:right w:val="none" w:sz="0" w:space="0" w:color="auto"/>
      </w:divBdr>
    </w:div>
    <w:div w:id="1225605768">
      <w:bodyDiv w:val="1"/>
      <w:marLeft w:val="0"/>
      <w:marRight w:val="0"/>
      <w:marTop w:val="0"/>
      <w:marBottom w:val="0"/>
      <w:divBdr>
        <w:top w:val="none" w:sz="0" w:space="0" w:color="auto"/>
        <w:left w:val="none" w:sz="0" w:space="0" w:color="auto"/>
        <w:bottom w:val="none" w:sz="0" w:space="0" w:color="auto"/>
        <w:right w:val="none" w:sz="0" w:space="0" w:color="auto"/>
      </w:divBdr>
    </w:div>
    <w:div w:id="1232421964">
      <w:bodyDiv w:val="1"/>
      <w:marLeft w:val="0"/>
      <w:marRight w:val="0"/>
      <w:marTop w:val="0"/>
      <w:marBottom w:val="0"/>
      <w:divBdr>
        <w:top w:val="none" w:sz="0" w:space="0" w:color="auto"/>
        <w:left w:val="none" w:sz="0" w:space="0" w:color="auto"/>
        <w:bottom w:val="none" w:sz="0" w:space="0" w:color="auto"/>
        <w:right w:val="none" w:sz="0" w:space="0" w:color="auto"/>
      </w:divBdr>
    </w:div>
    <w:div w:id="1314989662">
      <w:bodyDiv w:val="1"/>
      <w:marLeft w:val="0"/>
      <w:marRight w:val="0"/>
      <w:marTop w:val="0"/>
      <w:marBottom w:val="0"/>
      <w:divBdr>
        <w:top w:val="none" w:sz="0" w:space="0" w:color="auto"/>
        <w:left w:val="none" w:sz="0" w:space="0" w:color="auto"/>
        <w:bottom w:val="none" w:sz="0" w:space="0" w:color="auto"/>
        <w:right w:val="none" w:sz="0" w:space="0" w:color="auto"/>
      </w:divBdr>
    </w:div>
    <w:div w:id="1390415957">
      <w:bodyDiv w:val="1"/>
      <w:marLeft w:val="0"/>
      <w:marRight w:val="0"/>
      <w:marTop w:val="0"/>
      <w:marBottom w:val="0"/>
      <w:divBdr>
        <w:top w:val="none" w:sz="0" w:space="0" w:color="auto"/>
        <w:left w:val="none" w:sz="0" w:space="0" w:color="auto"/>
        <w:bottom w:val="none" w:sz="0" w:space="0" w:color="auto"/>
        <w:right w:val="none" w:sz="0" w:space="0" w:color="auto"/>
      </w:divBdr>
    </w:div>
    <w:div w:id="1397970607">
      <w:bodyDiv w:val="1"/>
      <w:marLeft w:val="0"/>
      <w:marRight w:val="0"/>
      <w:marTop w:val="0"/>
      <w:marBottom w:val="0"/>
      <w:divBdr>
        <w:top w:val="none" w:sz="0" w:space="0" w:color="auto"/>
        <w:left w:val="none" w:sz="0" w:space="0" w:color="auto"/>
        <w:bottom w:val="none" w:sz="0" w:space="0" w:color="auto"/>
        <w:right w:val="none" w:sz="0" w:space="0" w:color="auto"/>
      </w:divBdr>
    </w:div>
    <w:div w:id="1411584336">
      <w:bodyDiv w:val="1"/>
      <w:marLeft w:val="0"/>
      <w:marRight w:val="0"/>
      <w:marTop w:val="0"/>
      <w:marBottom w:val="0"/>
      <w:divBdr>
        <w:top w:val="none" w:sz="0" w:space="0" w:color="auto"/>
        <w:left w:val="none" w:sz="0" w:space="0" w:color="auto"/>
        <w:bottom w:val="none" w:sz="0" w:space="0" w:color="auto"/>
        <w:right w:val="none" w:sz="0" w:space="0" w:color="auto"/>
      </w:divBdr>
    </w:div>
    <w:div w:id="1448810934">
      <w:bodyDiv w:val="1"/>
      <w:marLeft w:val="0"/>
      <w:marRight w:val="0"/>
      <w:marTop w:val="0"/>
      <w:marBottom w:val="0"/>
      <w:divBdr>
        <w:top w:val="none" w:sz="0" w:space="0" w:color="auto"/>
        <w:left w:val="none" w:sz="0" w:space="0" w:color="auto"/>
        <w:bottom w:val="none" w:sz="0" w:space="0" w:color="auto"/>
        <w:right w:val="none" w:sz="0" w:space="0" w:color="auto"/>
      </w:divBdr>
    </w:div>
    <w:div w:id="1480220429">
      <w:bodyDiv w:val="1"/>
      <w:marLeft w:val="0"/>
      <w:marRight w:val="0"/>
      <w:marTop w:val="0"/>
      <w:marBottom w:val="0"/>
      <w:divBdr>
        <w:top w:val="none" w:sz="0" w:space="0" w:color="auto"/>
        <w:left w:val="none" w:sz="0" w:space="0" w:color="auto"/>
        <w:bottom w:val="none" w:sz="0" w:space="0" w:color="auto"/>
        <w:right w:val="none" w:sz="0" w:space="0" w:color="auto"/>
      </w:divBdr>
    </w:div>
    <w:div w:id="1568103611">
      <w:bodyDiv w:val="1"/>
      <w:marLeft w:val="0"/>
      <w:marRight w:val="0"/>
      <w:marTop w:val="0"/>
      <w:marBottom w:val="0"/>
      <w:divBdr>
        <w:top w:val="none" w:sz="0" w:space="0" w:color="auto"/>
        <w:left w:val="none" w:sz="0" w:space="0" w:color="auto"/>
        <w:bottom w:val="none" w:sz="0" w:space="0" w:color="auto"/>
        <w:right w:val="none" w:sz="0" w:space="0" w:color="auto"/>
      </w:divBdr>
    </w:div>
    <w:div w:id="1611202709">
      <w:bodyDiv w:val="1"/>
      <w:marLeft w:val="0"/>
      <w:marRight w:val="0"/>
      <w:marTop w:val="0"/>
      <w:marBottom w:val="0"/>
      <w:divBdr>
        <w:top w:val="none" w:sz="0" w:space="0" w:color="auto"/>
        <w:left w:val="none" w:sz="0" w:space="0" w:color="auto"/>
        <w:bottom w:val="none" w:sz="0" w:space="0" w:color="auto"/>
        <w:right w:val="none" w:sz="0" w:space="0" w:color="auto"/>
      </w:divBdr>
    </w:div>
    <w:div w:id="1644845618">
      <w:bodyDiv w:val="1"/>
      <w:marLeft w:val="0"/>
      <w:marRight w:val="0"/>
      <w:marTop w:val="0"/>
      <w:marBottom w:val="0"/>
      <w:divBdr>
        <w:top w:val="none" w:sz="0" w:space="0" w:color="auto"/>
        <w:left w:val="none" w:sz="0" w:space="0" w:color="auto"/>
        <w:bottom w:val="none" w:sz="0" w:space="0" w:color="auto"/>
        <w:right w:val="none" w:sz="0" w:space="0" w:color="auto"/>
      </w:divBdr>
    </w:div>
    <w:div w:id="1657298069">
      <w:bodyDiv w:val="1"/>
      <w:marLeft w:val="0"/>
      <w:marRight w:val="0"/>
      <w:marTop w:val="0"/>
      <w:marBottom w:val="0"/>
      <w:divBdr>
        <w:top w:val="none" w:sz="0" w:space="0" w:color="auto"/>
        <w:left w:val="none" w:sz="0" w:space="0" w:color="auto"/>
        <w:bottom w:val="none" w:sz="0" w:space="0" w:color="auto"/>
        <w:right w:val="none" w:sz="0" w:space="0" w:color="auto"/>
      </w:divBdr>
    </w:div>
    <w:div w:id="1728412780">
      <w:bodyDiv w:val="1"/>
      <w:marLeft w:val="0"/>
      <w:marRight w:val="0"/>
      <w:marTop w:val="0"/>
      <w:marBottom w:val="0"/>
      <w:divBdr>
        <w:top w:val="none" w:sz="0" w:space="0" w:color="auto"/>
        <w:left w:val="none" w:sz="0" w:space="0" w:color="auto"/>
        <w:bottom w:val="none" w:sz="0" w:space="0" w:color="auto"/>
        <w:right w:val="none" w:sz="0" w:space="0" w:color="auto"/>
      </w:divBdr>
    </w:div>
    <w:div w:id="1790709667">
      <w:bodyDiv w:val="1"/>
      <w:marLeft w:val="0"/>
      <w:marRight w:val="0"/>
      <w:marTop w:val="0"/>
      <w:marBottom w:val="0"/>
      <w:divBdr>
        <w:top w:val="none" w:sz="0" w:space="0" w:color="auto"/>
        <w:left w:val="none" w:sz="0" w:space="0" w:color="auto"/>
        <w:bottom w:val="none" w:sz="0" w:space="0" w:color="auto"/>
        <w:right w:val="none" w:sz="0" w:space="0" w:color="auto"/>
      </w:divBdr>
    </w:div>
    <w:div w:id="1886940086">
      <w:bodyDiv w:val="1"/>
      <w:marLeft w:val="0"/>
      <w:marRight w:val="0"/>
      <w:marTop w:val="0"/>
      <w:marBottom w:val="0"/>
      <w:divBdr>
        <w:top w:val="none" w:sz="0" w:space="0" w:color="auto"/>
        <w:left w:val="none" w:sz="0" w:space="0" w:color="auto"/>
        <w:bottom w:val="none" w:sz="0" w:space="0" w:color="auto"/>
        <w:right w:val="none" w:sz="0" w:space="0" w:color="auto"/>
      </w:divBdr>
    </w:div>
    <w:div w:id="1893229594">
      <w:bodyDiv w:val="1"/>
      <w:marLeft w:val="0"/>
      <w:marRight w:val="0"/>
      <w:marTop w:val="0"/>
      <w:marBottom w:val="0"/>
      <w:divBdr>
        <w:top w:val="none" w:sz="0" w:space="0" w:color="auto"/>
        <w:left w:val="none" w:sz="0" w:space="0" w:color="auto"/>
        <w:bottom w:val="none" w:sz="0" w:space="0" w:color="auto"/>
        <w:right w:val="none" w:sz="0" w:space="0" w:color="auto"/>
      </w:divBdr>
    </w:div>
    <w:div w:id="1896042380">
      <w:bodyDiv w:val="1"/>
      <w:marLeft w:val="0"/>
      <w:marRight w:val="0"/>
      <w:marTop w:val="0"/>
      <w:marBottom w:val="0"/>
      <w:divBdr>
        <w:top w:val="none" w:sz="0" w:space="0" w:color="auto"/>
        <w:left w:val="none" w:sz="0" w:space="0" w:color="auto"/>
        <w:bottom w:val="none" w:sz="0" w:space="0" w:color="auto"/>
        <w:right w:val="none" w:sz="0" w:space="0" w:color="auto"/>
      </w:divBdr>
    </w:div>
    <w:div w:id="1980301498">
      <w:bodyDiv w:val="1"/>
      <w:marLeft w:val="0"/>
      <w:marRight w:val="0"/>
      <w:marTop w:val="0"/>
      <w:marBottom w:val="0"/>
      <w:divBdr>
        <w:top w:val="none" w:sz="0" w:space="0" w:color="auto"/>
        <w:left w:val="none" w:sz="0" w:space="0" w:color="auto"/>
        <w:bottom w:val="none" w:sz="0" w:space="0" w:color="auto"/>
        <w:right w:val="none" w:sz="0" w:space="0" w:color="auto"/>
      </w:divBdr>
    </w:div>
    <w:div w:id="2008483914">
      <w:bodyDiv w:val="1"/>
      <w:marLeft w:val="0"/>
      <w:marRight w:val="0"/>
      <w:marTop w:val="0"/>
      <w:marBottom w:val="0"/>
      <w:divBdr>
        <w:top w:val="none" w:sz="0" w:space="0" w:color="auto"/>
        <w:left w:val="none" w:sz="0" w:space="0" w:color="auto"/>
        <w:bottom w:val="none" w:sz="0" w:space="0" w:color="auto"/>
        <w:right w:val="none" w:sz="0" w:space="0" w:color="auto"/>
      </w:divBdr>
    </w:div>
    <w:div w:id="2023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fg.gov.ua/prozorrosale" TargetMode="External"/><Relationship Id="rId13" Type="http://schemas.openxmlformats.org/officeDocument/2006/relationships/hyperlink" Target="file:///C:\Users\admin\Downloads\www.prozorro.sa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petrenko@eurobank-u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petrenko@eurobank-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o@fg.gov.ua" TargetMode="External"/><Relationship Id="rId4" Type="http://schemas.openxmlformats.org/officeDocument/2006/relationships/settings" Target="settings.xml"/><Relationship Id="rId9" Type="http://schemas.openxmlformats.org/officeDocument/2006/relationships/hyperlink" Target="http://torgi.fg.gov.ua/prozorrosal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Pages>
  <Words>4043</Words>
  <Characters>2305</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Максим Леонідович</dc:creator>
  <cp:lastModifiedBy>Петренко Богдан Володимирович</cp:lastModifiedBy>
  <cp:revision>31</cp:revision>
  <cp:lastPrinted>2019-07-05T08:53:00Z</cp:lastPrinted>
  <dcterms:created xsi:type="dcterms:W3CDTF">2018-02-15T09:09:00Z</dcterms:created>
  <dcterms:modified xsi:type="dcterms:W3CDTF">2019-07-05T13:20:00Z</dcterms:modified>
</cp:coreProperties>
</file>